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Dentfluence V1 — Final UX Freeze Specification: Treatment Visits</w:t>
      </w:r>
    </w:p>
    <w:p>
      <w:pPr>
        <w:spacing w:after="120"/>
      </w:pPr>
      <w:r>
        <w:rPr>
          <w:i/>
          <w:iCs/>
          <w:sz w:val="20"/>
          <w:szCs w:val="20"/>
        </w:rPr>
        <w:t xml:space="preserve">Design Review Board sign-off document  |  2026-08-05  |  Supersedes in decision authority: Treatment_Visits_Freeze_UX_Review.docx (which retains the full per-proposal reasoning)</w:t>
      </w:r>
    </w:p>
    <w:p>
      <w:pPr>
        <w:spacing w:after="120"/>
      </w:pPr>
      <w:r>
        <w:rPr>
          <w:sz w:val="20"/>
          <w:szCs w:val="20"/>
        </w:rPr>
        <w:t xml:space="preserve">Status of each decision: FROZEN — approved for V1 implementation, REJECTED — must not be implemented, or V2 — deferred without architecture change.</w:t>
      </w:r>
    </w:p>
    <w:p>
      <w:pPr>
        <w:pStyle w:val="Heading1"/>
        <w:spacing w:after="200" w:before="400"/>
      </w:pPr>
      <w:r>
        <w:t xml:space="preserve">Decisions under review</w:t>
      </w:r>
    </w:p>
    <w:p>
      <w:pPr>
        <w:pStyle w:val="Heading2"/>
        <w:spacing w:after="150" w:before="300"/>
      </w:pPr>
      <w:r>
        <w:t xml:space="preserve">Decision 1 — Appointment type sets the default opening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w:t>
            </w:r>
          </w:p>
        </w:tc>
        <w:tc>
          <w:tcPr>
            <w:tcW w:type="dxa" w:w="2200"/>
            <w:shd w:fill="E2EFDA" w:val="clear"/>
            <w:tcMar>
              <w:top w:type="dxa" w:w="60"/>
              <w:left w:type="dxa" w:w="80"/>
              <w:bottom w:type="dxa" w:w="60"/>
              <w:right w:type="dxa" w:w="80"/>
            </w:tcMar>
          </w:tcPr>
          <w:p>
            <w:r>
              <w:rPr>
                <w:b w:val="false"/>
                <w:bCs w:val="false"/>
                <w:sz w:val="18"/>
                <w:szCs w:val="18"/>
              </w:rPr>
              <w:t xml:space="preserve">Low</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exactly as scoped: a default, never a restriction. Fallbacks are part of the frozen spec: no appointment today → current behavior; two appointments → nearest to now; Review appointment → Consultation tab (the Decision 2 gate catches the treatment case). A deep link with an explicit tab (Decision 5) always overrides this inference.</w:t>
      </w:r>
    </w:p>
    <w:p>
      <w:pPr>
        <w:spacing w:after="100"/>
      </w:pPr>
      <w:r>
        <w:rPr>
          <w:b/>
          <w:bCs/>
        </w:rPr>
        <w:t xml:space="preserve">UX / Backend / AI: </w:t>
      </w:r>
      <w:r>
        <w:t xml:space="preserve">One decision removed per patient open · zero backend (read-only appointment check) · indirect AI benefit via correct-store routing.</w:t>
      </w:r>
    </w:p>
    <w:p>
      <w:pPr>
        <w:pStyle w:val="Heading2"/>
        <w:spacing w:after="150" w:before="300"/>
      </w:pPr>
      <w:r>
        <w:t xml:space="preserve">Decision 2 — Post-consultation-save contextual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 WITH ONE AMENDMENT</w:t>
            </w:r>
          </w:p>
        </w:tc>
        <w:tc>
          <w:tcPr>
            <w:tcW w:type="dxa" w:w="2200"/>
            <w:shd w:fill="E2EFDA" w:val="clear"/>
            <w:tcMar>
              <w:top w:type="dxa" w:w="60"/>
              <w:left w:type="dxa" w:w="80"/>
              <w:bottom w:type="dxa" w:w="60"/>
              <w:right w:type="dxa" w:w="80"/>
            </w:tcMar>
          </w:tcPr>
          <w:p>
            <w:r>
              <w:rPr>
                <w:b w:val="false"/>
                <w:bCs w:val="false"/>
                <w:sz w:val="18"/>
                <w:szCs w:val="18"/>
              </w:rPr>
              <w:t xml:space="preserve">Low-Medium</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with 'Remind Me Later' REMOVED — the board's answer to the explicit challenge is that it should not exist. A deferral with no defined re-fire moment is a silent dismissal wearing a polite name; it will become the default escape hatch and the gate's failure rate becomes unmeasurable. Two buttons only: 'Open Treatment Visit' and 'No Treatment Done Today'. The second is a RECORDED answer (user, timestamp, appointment) — every dismissal becomes auditable data about how often treatment appointments genuinely end without treatment, which is a scheduling-quality signal in its own right. The 'later' need is served structurally instead: the condition also surfaces as an end-of-day loose end on the Huddle/Today board and as the open step on the Decision 9 progress strip — a skipped popup degrades to a visible flag, not a lost fact.</w:t>
      </w:r>
    </w:p>
    <w:p>
      <w:pPr>
        <w:spacing w:after="100"/>
      </w:pPr>
      <w:r>
        <w:rPr>
          <w:b/>
          <w:bCs/>
        </w:rPr>
        <w:t xml:space="preserve">UX / Backend / AI: </w:t>
      </w:r>
      <w:r>
        <w:t xml:space="preserve">The single highest-impact intervention against Problem 1 · one read-side existence query + one recorded-dismissal event; no writes to frozen engines · directly drives work_outcome adoption (production currently has ZERO work_outcome rows — this gate is the adoption lever for the entire derivation chain).</w:t>
      </w:r>
    </w:p>
    <w:p>
      <w:pPr>
        <w:pStyle w:val="Heading2"/>
        <w:spacing w:after="150" w:before="300"/>
      </w:pPr>
      <w:r>
        <w:t xml:space="preserve">Decision 3 — Prefilled Treatment Visit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w:t>
            </w:r>
          </w:p>
        </w:tc>
        <w:tc>
          <w:tcPr>
            <w:tcW w:type="dxa" w:w="2200"/>
            <w:shd w:fill="E2EFDA" w:val="clear"/>
            <w:tcMar>
              <w:top w:type="dxa" w:w="60"/>
              <w:left w:type="dxa" w:w="80"/>
              <w:bottom w:type="dxa" w:w="60"/>
              <w:right w:type="dxa" w:w="80"/>
            </w:tcMar>
          </w:tcPr>
          <w:p>
            <w:r>
              <w:rPr>
                <w:b w:val="false"/>
                <w:bCs w:val="false"/>
                <w:sz w:val="18"/>
                <w:szCs w:val="18"/>
              </w:rPr>
              <w:t xml:space="preserve">Low</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as scoped (patient, doctor, appointment, accepted plan, date). Two guardrails frozen into the spec: only ACCEPTED plans may prefill (same accepted_at rule the form already enforces), and when multiple accepted plans exist the picker preselects NONE — a wrong silent default in a clinical record costs more than one extra tap. Server-side validation in TreatmentVisitService remains the sole authority; prefill is a client-side convenience only.</w:t>
      </w:r>
    </w:p>
    <w:p>
      <w:pPr>
        <w:spacing w:after="100"/>
      </w:pPr>
      <w:r>
        <w:rPr>
          <w:b/>
          <w:bCs/>
        </w:rPr>
        <w:t xml:space="preserve">UX / Backend / AI: </w:t>
      </w:r>
      <w:r>
        <w:t xml:space="preserve">Makes the right path cheaper than the free-text shortcut — this is what changes the workflow's economics · zero backend · more visits carry treatment_plan_id, the join the whole derivation chain depends on.</w:t>
      </w:r>
    </w:p>
    <w:p>
      <w:pPr>
        <w:pStyle w:val="Heading2"/>
        <w:spacing w:after="150" w:before="300"/>
      </w:pPr>
      <w:r>
        <w:t xml:space="preserve">Decision 4 — Minimal Treatment Visit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REMOVE (elements) — APPROVED</w:t>
            </w:r>
          </w:p>
        </w:tc>
        <w:tc>
          <w:tcPr>
            <w:tcW w:type="dxa" w:w="2200"/>
            <w:shd w:fill="E2EFDA" w:val="clear"/>
            <w:tcMar>
              <w:top w:type="dxa" w:w="60"/>
              <w:left w:type="dxa" w:w="80"/>
              <w:bottom w:type="dxa" w:w="60"/>
              <w:right w:type="dxa" w:w="80"/>
            </w:tcMar>
          </w:tcPr>
          <w:p>
            <w:r>
              <w:rPr>
                <w:b w:val="false"/>
                <w:bCs w:val="false"/>
                <w:sz w:val="18"/>
                <w:szCs w:val="18"/>
              </w:rPr>
              <w:t xml:space="preserve">Low</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remove the five KPI cards, the dashboard elements, and the visit_type/status filter-chip row. Keep Add Visit, search, the visit list/timeline, and the empty state. The board permits exactly one optional retained control — a single 'Billing Pending' toggle — because it is the one filter front desk demonstrably uses; if contested, remove it and let search carry the load. The KPI concept is not deleted from the product: it is relocated to a clinic-wide visits report in V2, where aggregates have analytical meaning. Per-patient stat cards on a record tab do not.</w:t>
      </w:r>
    </w:p>
    <w:p>
      <w:pPr>
        <w:spacing w:after="100"/>
      </w:pPr>
      <w:r>
        <w:rPr>
          <w:b/>
          <w:bCs/>
        </w:rPr>
        <w:t xml:space="preserve">UX / Backend / AI: </w:t>
      </w:r>
      <w:r>
        <w:t xml:space="preserve">Immediate perceived simplification of the most-used clinical tab · zero backend (client-side removal) · none.</w:t>
      </w:r>
    </w:p>
    <w:p>
      <w:pPr>
        <w:pStyle w:val="Heading2"/>
        <w:spacing w:after="150" w:before="300"/>
      </w:pPr>
      <w:r>
        <w:t xml:space="preserve">Decision 5 — Tab persistence and deep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w:t>
            </w:r>
          </w:p>
        </w:tc>
        <w:tc>
          <w:tcPr>
            <w:tcW w:type="dxa" w:w="2200"/>
            <w:shd w:fill="E2EFDA" w:val="clear"/>
            <w:tcMar>
              <w:top w:type="dxa" w:w="60"/>
              <w:left w:type="dxa" w:w="80"/>
              <w:bottom w:type="dxa" w:w="60"/>
              <w:right w:type="dxa" w:w="80"/>
            </w:tcMar>
          </w:tcPr>
          <w:p>
            <w:r>
              <w:rPr>
                <w:b w:val="false"/>
                <w:bCs w:val="false"/>
                <w:sz w:val="18"/>
                <w:szCs w:val="18"/>
              </w:rPr>
              <w:t xml:space="preserve">Low</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with the implementation constraint that tab state lives in the URL (query param or hash), not in session/local storage: this makes refresh, browser back/forward, and shareable deep links all behave correctly from one mechanism. Precedence rule frozen: explicit URL tab &gt; Decision 1 appointment inference &gt; default.</w:t>
      </w:r>
    </w:p>
    <w:p>
      <w:pPr>
        <w:spacing w:after="100"/>
      </w:pPr>
      <w:r>
        <w:rPr>
          <w:b/>
          <w:bCs/>
        </w:rPr>
        <w:t xml:space="preserve">UX / Backend / AI: </w:t>
      </w:r>
      <w:r>
        <w:t xml:space="preserve">Removes the mid-session tax that pushes clinicians back toward the free-text shortcut; enables every other decision's links to land precisely · zero backend · deep-linkability is what lets any future AI assistant hand a clinician a one-tap 'go here' action.</w:t>
      </w:r>
    </w:p>
    <w:p>
      <w:pPr>
        <w:pStyle w:val="Heading2"/>
        <w:spacing w:after="150" w:before="300"/>
      </w:pPr>
      <w:r>
        <w:t xml:space="preserve">Decision 6 — Universal Prescription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FFF2CC" w:val="clear"/>
            <w:tcMar>
              <w:top w:type="dxa" w:w="60"/>
              <w:left w:type="dxa" w:w="80"/>
              <w:bottom w:type="dxa" w:w="60"/>
              <w:right w:type="dxa" w:w="80"/>
            </w:tcMar>
          </w:tcPr>
          <w:p>
            <w:r>
              <w:rPr>
                <w:b w:val="false"/>
                <w:bCs w:val="false"/>
                <w:sz w:val="18"/>
                <w:szCs w:val="18"/>
              </w:rPr>
              <w:t xml:space="preserve">IMPROVE — APPROVED, PHASED</w:t>
            </w:r>
          </w:p>
        </w:tc>
        <w:tc>
          <w:tcPr>
            <w:tcW w:type="dxa" w:w="2200"/>
            <w:shd w:fill="FFF2CC" w:val="clear"/>
            <w:tcMar>
              <w:top w:type="dxa" w:w="60"/>
              <w:left w:type="dxa" w:w="80"/>
              <w:bottom w:type="dxa" w:w="60"/>
              <w:right w:type="dxa" w:w="80"/>
            </w:tcMar>
          </w:tcPr>
          <w:p>
            <w:r>
              <w:rPr>
                <w:b w:val="false"/>
                <w:bCs w:val="false"/>
                <w:sz w:val="18"/>
                <w:szCs w:val="18"/>
              </w:rPr>
              <w:t xml:space="preserve">Medium (UI) / High (data)</w:t>
            </w:r>
          </w:p>
        </w:tc>
        <w:tc>
          <w:tcPr>
            <w:tcW w:type="dxa" w:w="2960"/>
            <w:shd w:fill="FFF2CC" w:val="clear"/>
            <w:tcMar>
              <w:top w:type="dxa" w:w="60"/>
              <w:left w:type="dxa" w:w="80"/>
              <w:bottom w:type="dxa" w:w="60"/>
              <w:right w:type="dxa" w:w="80"/>
            </w:tcMar>
          </w:tcPr>
          <w:p>
            <w:r>
              <w:rPr>
                <w:b w:val="false"/>
                <w:bCs w:val="false"/>
                <w:sz w:val="18"/>
                <w:szCs w:val="18"/>
              </w:rPr>
              <w:t xml:space="preserve">UI: V1 · Data: V2</w:t>
            </w:r>
          </w:p>
        </w:tc>
      </w:tr>
    </w:tbl>
    <w:p>
      <w:pPr>
        <w:spacing w:after="100"/>
      </w:pPr>
      <w:r>
        <w:rPr>
          <w:b/>
          <w:bCs/>
        </w:rPr>
        <w:t xml:space="preserve">Ruling: </w:t>
      </w:r>
      <w:r>
        <w:t xml:space="preserve">The architecture is approved without reservation — one document, one lifecycle, entry point as context metadata. Implementation is phased by decree: V1 ships ONE shared prescription UI component mounted from Consultation, Treatment Visit and the Prescription tab, writing through the existing prescription path, producing identical UI/PDF/print/WhatsApp/history. V2 performs the data consolidation — migrating the embedded treatment_visits.prescription_* columns into the prescriptions table with a source field and retiring the duplicates. The board notes this V2 step is not cosmetic: the current parallel representation is an existing violation of One Owner Per Clinical Fact, and the engine is its repair. Schema migration under freeze deadline pressure is explicitly forbidden.</w:t>
      </w:r>
    </w:p>
    <w:p>
      <w:pPr>
        <w:spacing w:after="100"/>
      </w:pPr>
      <w:r>
        <w:rPr>
          <w:b/>
          <w:bCs/>
        </w:rPr>
        <w:t xml:space="preserve">UX / Backend / AI: </w:t>
      </w:r>
      <w:r>
        <w:t xml:space="preserve">One learned workflow instead of three (answers Tulip's prescription feedback directly) · V1 none, V2 one migration + single-writer enforcement · V2 yields the one canonical prescriptions table an AI secretary needs.</w:t>
      </w:r>
    </w:p>
    <w:p>
      <w:pPr>
        <w:pStyle w:val="Heading2"/>
        <w:spacing w:after="150" w:before="300"/>
      </w:pPr>
      <w:r>
        <w:t xml:space="preserve">Decision 7 — Contextual popups with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 AS POLICY</w:t>
            </w:r>
          </w:p>
        </w:tc>
        <w:tc>
          <w:tcPr>
            <w:tcW w:type="dxa" w:w="2200"/>
            <w:shd w:fill="E2EFDA" w:val="clear"/>
            <w:tcMar>
              <w:top w:type="dxa" w:w="60"/>
              <w:left w:type="dxa" w:w="80"/>
              <w:bottom w:type="dxa" w:w="60"/>
              <w:right w:type="dxa" w:w="80"/>
            </w:tcMar>
          </w:tcPr>
          <w:p>
            <w:r>
              <w:rPr>
                <w:b w:val="false"/>
                <w:bCs w:val="false"/>
                <w:sz w:val="18"/>
                <w:szCs w:val="18"/>
              </w:rPr>
              <w:t xml:space="preserve">Low (policy)</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 contextual, condition-triggered, once-satisfied-never-again popups replace all persistent banners. The requested governance rules are frozen as product law: (1) at most ONE modal per save action — when two conditions fire, the more clinically consequential wins and the other degrades to a passive indicator; (2) modals appear only at natural pause points (after save), never during data entry; (3) every modal offers a genuine negative answer and every dismissal is recorded — no unrecorded escape; (4) a condition a given user dismisses repeatedly demotes itself to a passive indicator for that user — the system respects demonstrated human judgment. These four rules bind every future Dentfluence module, not just Treatment Visits.</w:t>
      </w:r>
    </w:p>
    <w:p>
      <w:pPr>
        <w:spacing w:after="100"/>
      </w:pPr>
      <w:r>
        <w:rPr>
          <w:b/>
          <w:bCs/>
        </w:rPr>
        <w:t xml:space="preserve">UX / Backend / AI: </w:t>
      </w:r>
      <w:r>
        <w:t xml:space="preserve">Prevents the popup-fatigue failure mode that would otherwise consume Decisions 2, 8 and 9 · zero backend · recorded dismissals are structured workflow facts, later mineable for where the system's model diverges from clinic reality.</w:t>
      </w:r>
    </w:p>
    <w:p>
      <w:pPr>
        <w:pStyle w:val="Heading2"/>
        <w:spacing w:after="150" w:before="300"/>
      </w:pPr>
      <w:r>
        <w:t xml:space="preserve">Decision 8 — Event-driven workflow communication,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FFF2CC" w:val="clear"/>
            <w:tcMar>
              <w:top w:type="dxa" w:w="60"/>
              <w:left w:type="dxa" w:w="80"/>
              <w:bottom w:type="dxa" w:w="60"/>
              <w:right w:type="dxa" w:w="80"/>
            </w:tcMar>
          </w:tcPr>
          <w:p>
            <w:r>
              <w:rPr>
                <w:b w:val="false"/>
                <w:bCs w:val="false"/>
                <w:sz w:val="18"/>
                <w:szCs w:val="18"/>
              </w:rPr>
              <w:t xml:space="preserve">IMPROVE — APPROVED with role-differentiated delivery</w:t>
            </w:r>
          </w:p>
        </w:tc>
        <w:tc>
          <w:tcPr>
            <w:tcW w:type="dxa" w:w="2200"/>
            <w:shd w:fill="FFF2CC" w:val="clear"/>
            <w:tcMar>
              <w:top w:type="dxa" w:w="60"/>
              <w:left w:type="dxa" w:w="80"/>
              <w:bottom w:type="dxa" w:w="60"/>
              <w:right w:type="dxa" w:w="80"/>
            </w:tcMar>
          </w:tcPr>
          <w:p>
            <w:r>
              <w:rPr>
                <w:b w:val="false"/>
                <w:bCs w:val="false"/>
                <w:sz w:val="18"/>
                <w:szCs w:val="18"/>
              </w:rPr>
              <w:t xml:space="preserve">Medium (V1) / High (V2 push)</w:t>
            </w:r>
          </w:p>
        </w:tc>
        <w:tc>
          <w:tcPr>
            <w:tcW w:type="dxa" w:w="2960"/>
            <w:shd w:fill="FFF2CC" w:val="clear"/>
            <w:tcMar>
              <w:top w:type="dxa" w:w="60"/>
              <w:left w:type="dxa" w:w="80"/>
              <w:bottom w:type="dxa" w:w="60"/>
              <w:right w:type="dxa" w:w="80"/>
            </w:tcMar>
          </w:tcPr>
          <w:p>
            <w:r>
              <w:rPr>
                <w:b w:val="false"/>
                <w:bCs w:val="false"/>
                <w:sz w:val="18"/>
                <w:szCs w:val="18"/>
              </w:rPr>
              <w:t xml:space="preserve">Queues/badges: V1 · Live push: V2</w:t>
            </w:r>
          </w:p>
        </w:tc>
      </w:tr>
    </w:tbl>
    <w:p>
      <w:pPr>
        <w:spacing w:after="100"/>
      </w:pPr>
      <w:r>
        <w:rPr>
          <w:b/>
          <w:bCs/>
        </w:rPr>
        <w:t xml:space="preserve">Ruling: </w:t>
      </w:r>
      <w:r>
        <w:t xml:space="preserve">The event is approved; one-size delivery is rejected. The backend half already exists — saving a visit already creates the pending BillingPrompt, drafts the LabCase, and logs structured activity — so this is a read-side surfacing decision, not new architecture. Delivery matrix frozen below. The unifying principle: actors get queues, supervisors get digests, and nobody gets a modal for someone else's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D9E2F3" w:val="clear"/>
            <w:tcMar>
              <w:top w:type="dxa" w:w="60"/>
              <w:left w:type="dxa" w:w="80"/>
              <w:bottom w:type="dxa" w:w="60"/>
              <w:right w:type="dxa" w:w="80"/>
            </w:tcMar>
          </w:tcPr>
          <w:p>
            <w:r>
              <w:rPr>
                <w:b/>
                <w:bCs/>
                <w:sz w:val="18"/>
                <w:szCs w:val="18"/>
              </w:rPr>
              <w:t xml:space="preserve">Role</w:t>
            </w:r>
          </w:p>
        </w:tc>
        <w:tc>
          <w:tcPr>
            <w:tcW w:type="dxa" w:w="3900"/>
            <w:shd w:fill="D9E2F3" w:val="clear"/>
            <w:tcMar>
              <w:top w:type="dxa" w:w="60"/>
              <w:left w:type="dxa" w:w="80"/>
              <w:bottom w:type="dxa" w:w="60"/>
              <w:right w:type="dxa" w:w="80"/>
            </w:tcMar>
          </w:tcPr>
          <w:p>
            <w:r>
              <w:rPr>
                <w:b/>
                <w:bCs/>
                <w:sz w:val="18"/>
                <w:szCs w:val="18"/>
              </w:rPr>
              <w:t xml:space="preserve">Mechanism</w:t>
            </w:r>
          </w:p>
        </w:tc>
        <w:tc>
          <w:tcPr>
            <w:tcW w:type="dxa" w:w="3560"/>
            <w:shd w:fill="D9E2F3" w:val="clear"/>
            <w:tcMar>
              <w:top w:type="dxa" w:w="60"/>
              <w:left w:type="dxa" w:w="80"/>
              <w:bottom w:type="dxa" w:w="60"/>
              <w:right w:type="dxa" w:w="80"/>
            </w:tcMar>
          </w:tcPr>
          <w:p>
            <w:r>
              <w:rPr>
                <w:b/>
                <w:bCs/>
                <w:sz w:val="18"/>
                <w:szCs w:val="18"/>
              </w:rPr>
              <w:t xml:space="preserve">Rationale</w:t>
            </w:r>
          </w:p>
        </w:tc>
      </w:tr>
      <w:tr>
        <w:tc>
          <w:tcPr>
            <w:tcW w:type="dxa" w:w="1900"/>
            <w:tcMar>
              <w:top w:type="dxa" w:w="60"/>
              <w:left w:type="dxa" w:w="80"/>
              <w:bottom w:type="dxa" w:w="60"/>
              <w:right w:type="dxa" w:w="80"/>
            </w:tcMar>
          </w:tcPr>
          <w:p>
            <w:r>
              <w:rPr>
                <w:b w:val="false"/>
                <w:bCs w:val="false"/>
                <w:sz w:val="18"/>
                <w:szCs w:val="18"/>
              </w:rPr>
              <w:t xml:space="preserve">Reception / Front Desk</w:t>
            </w:r>
          </w:p>
        </w:tc>
        <w:tc>
          <w:tcPr>
            <w:tcW w:type="dxa" w:w="3900"/>
            <w:tcMar>
              <w:top w:type="dxa" w:w="60"/>
              <w:left w:type="dxa" w:w="80"/>
              <w:bottom w:type="dxa" w:w="60"/>
              <w:right w:type="dxa" w:w="80"/>
            </w:tcMar>
          </w:tcPr>
          <w:p>
            <w:r>
              <w:rPr>
                <w:b w:val="false"/>
                <w:bCs w:val="false"/>
                <w:sz w:val="18"/>
                <w:szCs w:val="18"/>
              </w:rPr>
              <w:t xml:space="preserve">Queue badge on the billing-prompts surface they already watch (count of pending), 30-second polling in V1. Optional auto-dismissing toast ONLY while they are already on that screen. Never a modal.</w:t>
            </w:r>
          </w:p>
        </w:tc>
        <w:tc>
          <w:tcPr>
            <w:tcW w:type="dxa" w:w="3560"/>
            <w:tcMar>
              <w:top w:type="dxa" w:w="60"/>
              <w:left w:type="dxa" w:w="80"/>
              <w:bottom w:type="dxa" w:w="60"/>
              <w:right w:type="dxa" w:w="80"/>
            </w:tcMar>
          </w:tcPr>
          <w:p>
            <w:r>
              <w:rPr>
                <w:b w:val="false"/>
                <w:bCs w:val="false"/>
                <w:sz w:val="18"/>
                <w:szCs w:val="18"/>
              </w:rPr>
              <w:t xml:space="preserve">Their job is reacting to clinic flow, but on their own task rhythm — a modal interrupting a check-in is worse than the verbal handoff it replaces.</w:t>
            </w:r>
          </w:p>
        </w:tc>
      </w:tr>
      <w:tr>
        <w:tc>
          <w:tcPr>
            <w:tcW w:type="dxa" w:w="1900"/>
            <w:tcMar>
              <w:top w:type="dxa" w:w="60"/>
              <w:left w:type="dxa" w:w="80"/>
              <w:bottom w:type="dxa" w:w="60"/>
              <w:right w:type="dxa" w:w="80"/>
            </w:tcMar>
          </w:tcPr>
          <w:p>
            <w:r>
              <w:rPr>
                <w:b w:val="false"/>
                <w:bCs w:val="false"/>
                <w:sz w:val="18"/>
                <w:szCs w:val="18"/>
              </w:rPr>
              <w:t xml:space="preserve">Billing (same person in most solo clinics)</w:t>
            </w:r>
          </w:p>
        </w:tc>
        <w:tc>
          <w:tcPr>
            <w:tcW w:type="dxa" w:w="3900"/>
            <w:tcMar>
              <w:top w:type="dxa" w:w="60"/>
              <w:left w:type="dxa" w:w="80"/>
              <w:bottom w:type="dxa" w:w="60"/>
              <w:right w:type="dxa" w:w="80"/>
            </w:tcMar>
          </w:tcPr>
          <w:p>
            <w:r>
              <w:rPr>
                <w:b w:val="false"/>
                <w:bCs w:val="false"/>
                <w:sz w:val="18"/>
                <w:szCs w:val="18"/>
              </w:rPr>
              <w:t xml:space="preserve">Same queue badge — the pending BillingPrompt IS the work item. Row appears in the existing prompts list with the visit's human-readable description.</w:t>
            </w:r>
          </w:p>
        </w:tc>
        <w:tc>
          <w:tcPr>
            <w:tcW w:type="dxa" w:w="3560"/>
            <w:tcMar>
              <w:top w:type="dxa" w:w="60"/>
              <w:left w:type="dxa" w:w="80"/>
              <w:bottom w:type="dxa" w:w="60"/>
              <w:right w:type="dxa" w:w="80"/>
            </w:tcMar>
          </w:tcPr>
          <w:p>
            <w:r>
              <w:rPr>
                <w:b w:val="false"/>
                <w:bCs w:val="false"/>
                <w:sz w:val="18"/>
                <w:szCs w:val="18"/>
              </w:rPr>
              <w:t xml:space="preserve">The event and the work queue are already the same row; no second channel needed.</w:t>
            </w:r>
          </w:p>
        </w:tc>
      </w:tr>
      <w:tr>
        <w:tc>
          <w:tcPr>
            <w:tcW w:type="dxa" w:w="1900"/>
            <w:tcMar>
              <w:top w:type="dxa" w:w="60"/>
              <w:left w:type="dxa" w:w="80"/>
              <w:bottom w:type="dxa" w:w="60"/>
              <w:right w:type="dxa" w:w="80"/>
            </w:tcMar>
          </w:tcPr>
          <w:p>
            <w:r>
              <w:rPr>
                <w:b w:val="false"/>
                <w:bCs w:val="false"/>
                <w:sz w:val="18"/>
                <w:szCs w:val="18"/>
              </w:rPr>
              <w:t xml:space="preserve">Lab</w:t>
            </w:r>
          </w:p>
        </w:tc>
        <w:tc>
          <w:tcPr>
            <w:tcW w:type="dxa" w:w="3900"/>
            <w:tcMar>
              <w:top w:type="dxa" w:w="60"/>
              <w:left w:type="dxa" w:w="80"/>
              <w:bottom w:type="dxa" w:w="60"/>
              <w:right w:type="dxa" w:w="80"/>
            </w:tcMar>
          </w:tcPr>
          <w:p>
            <w:r>
              <w:rPr>
                <w:b w:val="false"/>
                <w:bCs w:val="false"/>
                <w:sz w:val="18"/>
                <w:szCs w:val="18"/>
              </w:rPr>
              <w:t xml:space="preserve">Badge count on the Lab module nav for draft lab cases. No toast, no popup.</w:t>
            </w:r>
          </w:p>
        </w:tc>
        <w:tc>
          <w:tcPr>
            <w:tcW w:type="dxa" w:w="3560"/>
            <w:tcMar>
              <w:top w:type="dxa" w:w="60"/>
              <w:left w:type="dxa" w:w="80"/>
              <w:bottom w:type="dxa" w:w="60"/>
              <w:right w:type="dxa" w:w="80"/>
            </w:tcMar>
          </w:tcPr>
          <w:p>
            <w:r>
              <w:rPr>
                <w:b w:val="false"/>
                <w:bCs w:val="false"/>
                <w:sz w:val="18"/>
                <w:szCs w:val="18"/>
              </w:rPr>
              <w:t xml:space="preserve">Lab work is same-day, not same-minute — a draft case waiting 20 minutes costs nothing; an interruption does.</w:t>
            </w:r>
          </w:p>
        </w:tc>
      </w:tr>
      <w:tr>
        <w:tc>
          <w:tcPr>
            <w:tcW w:type="dxa" w:w="1900"/>
            <w:tcMar>
              <w:top w:type="dxa" w:w="60"/>
              <w:left w:type="dxa" w:w="80"/>
              <w:bottom w:type="dxa" w:w="60"/>
              <w:right w:type="dxa" w:w="80"/>
            </w:tcMar>
          </w:tcPr>
          <w:p>
            <w:r>
              <w:rPr>
                <w:b w:val="false"/>
                <w:bCs w:val="false"/>
                <w:sz w:val="18"/>
                <w:szCs w:val="18"/>
              </w:rPr>
              <w:t xml:space="preserve">Owner / Admin / Manager</w:t>
            </w:r>
          </w:p>
        </w:tc>
        <w:tc>
          <w:tcPr>
            <w:tcW w:type="dxa" w:w="3900"/>
            <w:tcMar>
              <w:top w:type="dxa" w:w="60"/>
              <w:left w:type="dxa" w:w="80"/>
              <w:bottom w:type="dxa" w:w="60"/>
              <w:right w:type="dxa" w:w="80"/>
            </w:tcMar>
          </w:tcPr>
          <w:p>
            <w:r>
              <w:rPr>
                <w:b w:val="false"/>
                <w:bCs w:val="false"/>
                <w:sz w:val="18"/>
                <w:szCs w:val="18"/>
              </w:rPr>
              <w:t xml:space="preserve">Notification center + digest only. No popup, no toast — exactly as proposed.</w:t>
            </w:r>
          </w:p>
        </w:tc>
        <w:tc>
          <w:tcPr>
            <w:tcW w:type="dxa" w:w="3560"/>
            <w:tcMar>
              <w:top w:type="dxa" w:w="60"/>
              <w:left w:type="dxa" w:w="80"/>
              <w:bottom w:type="dxa" w:w="60"/>
              <w:right w:type="dxa" w:w="80"/>
            </w:tcMar>
          </w:tcPr>
          <w:p>
            <w:r>
              <w:rPr>
                <w:b w:val="false"/>
                <w:bCs w:val="false"/>
                <w:sz w:val="18"/>
                <w:szCs w:val="18"/>
              </w:rPr>
              <w:t xml:space="preserve">Supervisory awareness, not action. Interruption is pure cost at this tier.</w:t>
            </w:r>
          </w:p>
        </w:tc>
      </w:tr>
      <w:tr>
        <w:tc>
          <w:tcPr>
            <w:tcW w:type="dxa" w:w="1900"/>
            <w:tcMar>
              <w:top w:type="dxa" w:w="60"/>
              <w:left w:type="dxa" w:w="80"/>
              <w:bottom w:type="dxa" w:w="60"/>
              <w:right w:type="dxa" w:w="80"/>
            </w:tcMar>
          </w:tcPr>
          <w:p>
            <w:r>
              <w:rPr>
                <w:b w:val="false"/>
                <w:bCs w:val="false"/>
                <w:sz w:val="18"/>
                <w:szCs w:val="18"/>
              </w:rPr>
              <w:t xml:space="preserve">Doctor (event author)</w:t>
            </w:r>
          </w:p>
        </w:tc>
        <w:tc>
          <w:tcPr>
            <w:tcW w:type="dxa" w:w="3900"/>
            <w:tcMar>
              <w:top w:type="dxa" w:w="60"/>
              <w:left w:type="dxa" w:w="80"/>
              <w:bottom w:type="dxa" w:w="60"/>
              <w:right w:type="dxa" w:w="80"/>
            </w:tcMar>
          </w:tcPr>
          <w:p>
            <w:r>
              <w:rPr>
                <w:b w:val="false"/>
                <w:bCs w:val="false"/>
                <w:sz w:val="18"/>
                <w:szCs w:val="18"/>
              </w:rPr>
              <w:t xml:space="preserve">Nothing. The Decision 9 progress strip ticking over is their confirmation.</w:t>
            </w:r>
          </w:p>
        </w:tc>
        <w:tc>
          <w:tcPr>
            <w:tcW w:type="dxa" w:w="3560"/>
            <w:tcMar>
              <w:top w:type="dxa" w:w="60"/>
              <w:left w:type="dxa" w:w="80"/>
              <w:bottom w:type="dxa" w:w="60"/>
              <w:right w:type="dxa" w:w="80"/>
            </w:tcMar>
          </w:tcPr>
          <w:p>
            <w:r>
              <w:rPr>
                <w:b w:val="false"/>
                <w:bCs w:val="false"/>
                <w:sz w:val="18"/>
                <w:szCs w:val="18"/>
              </w:rPr>
              <w:t xml:space="preserve">Never notify someone about their own action.</w:t>
            </w:r>
          </w:p>
        </w:tc>
      </w:tr>
    </w:tbl>
    <w:p>
      <w:pPr>
        <w:spacing w:after="100"/>
      </w:pPr>
      <w:r>
        <w:rPr>
          <w:b/>
          <w:bCs/>
        </w:rPr>
        <w:t xml:space="preserve">UX / Backend / AI: </w:t>
      </w:r>
      <w:r>
        <w:t xml:space="preserve">Kills the verbal handoff (Tulip Problem) without an interruption culture · V1: one badge endpoint + polling over existing rows; V2: websockets/broadcast if multi-chair volume demands it · the event stream stays event-shaped, which is precisely what a future AI secretary consumes.</w:t>
      </w:r>
    </w:p>
    <w:p>
      <w:pPr>
        <w:pStyle w:val="Heading2"/>
        <w:spacing w:after="150" w:before="300"/>
      </w:pPr>
      <w:r>
        <w:t xml:space="preserve">Decision 9 — Derived Workflow Progress Indicator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D9E2F3" w:val="clear"/>
            <w:tcMar>
              <w:top w:type="dxa" w:w="60"/>
              <w:left w:type="dxa" w:w="80"/>
              <w:bottom w:type="dxa" w:w="60"/>
              <w:right w:type="dxa" w:w="80"/>
            </w:tcMar>
          </w:tcPr>
          <w:p>
            <w:r>
              <w:rPr>
                <w:b/>
                <w:bCs/>
                <w:sz w:val="18"/>
                <w:szCs w:val="18"/>
              </w:rPr>
              <w:t xml:space="preserve">Verdict</w:t>
            </w:r>
          </w:p>
        </w:tc>
        <w:tc>
          <w:tcPr>
            <w:tcW w:type="dxa" w:w="2200"/>
            <w:shd w:fill="D9E2F3" w:val="clear"/>
            <w:tcMar>
              <w:top w:type="dxa" w:w="60"/>
              <w:left w:type="dxa" w:w="80"/>
              <w:bottom w:type="dxa" w:w="60"/>
              <w:right w:type="dxa" w:w="80"/>
            </w:tcMar>
          </w:tcPr>
          <w:p>
            <w:r>
              <w:rPr>
                <w:b/>
                <w:bCs/>
                <w:sz w:val="18"/>
                <w:szCs w:val="18"/>
              </w:rPr>
              <w:t xml:space="preserve">Complexity</w:t>
            </w:r>
          </w:p>
        </w:tc>
        <w:tc>
          <w:tcPr>
            <w:tcW w:type="dxa" w:w="2960"/>
            <w:shd w:fill="D9E2F3" w:val="clear"/>
            <w:tcMar>
              <w:top w:type="dxa" w:w="60"/>
              <w:left w:type="dxa" w:w="80"/>
              <w:bottom w:type="dxa" w:w="60"/>
              <w:right w:type="dxa" w:w="80"/>
            </w:tcMar>
          </w:tcPr>
          <w:p>
            <w:r>
              <w:rPr>
                <w:b/>
                <w:bCs/>
                <w:sz w:val="18"/>
                <w:szCs w:val="18"/>
              </w:rPr>
              <w:t xml:space="preserve">Ship</w:t>
            </w:r>
          </w:p>
        </w:tc>
      </w:tr>
      <w:tr>
        <w:tc>
          <w:tcPr>
            <w:tcW w:type="dxa" w:w="4200"/>
            <w:shd w:fill="E2EFDA" w:val="clear"/>
            <w:tcMar>
              <w:top w:type="dxa" w:w="60"/>
              <w:left w:type="dxa" w:w="80"/>
              <w:bottom w:type="dxa" w:w="60"/>
              <w:right w:type="dxa" w:w="80"/>
            </w:tcMar>
          </w:tcPr>
          <w:p>
            <w:r>
              <w:rPr>
                <w:b w:val="false"/>
                <w:bCs w:val="false"/>
                <w:sz w:val="18"/>
                <w:szCs w:val="18"/>
              </w:rPr>
              <w:t xml:space="preserve">IMPROVE — APPROVED WITH CONSTRAINTS</w:t>
            </w:r>
          </w:p>
        </w:tc>
        <w:tc>
          <w:tcPr>
            <w:tcW w:type="dxa" w:w="2200"/>
            <w:shd w:fill="E2EFDA" w:val="clear"/>
            <w:tcMar>
              <w:top w:type="dxa" w:w="60"/>
              <w:left w:type="dxa" w:w="80"/>
              <w:bottom w:type="dxa" w:w="60"/>
              <w:right w:type="dxa" w:w="80"/>
            </w:tcMar>
          </w:tcPr>
          <w:p>
            <w:r>
              <w:rPr>
                <w:b w:val="false"/>
                <w:bCs w:val="false"/>
                <w:sz w:val="18"/>
                <w:szCs w:val="18"/>
              </w:rPr>
              <w:t xml:space="preserve">Low-Medium</w:t>
            </w:r>
          </w:p>
        </w:tc>
        <w:tc>
          <w:tcPr>
            <w:tcW w:type="dxa" w:w="2960"/>
            <w:shd w:fill="E2EFDA" w:val="clear"/>
            <w:tcMar>
              <w:top w:type="dxa" w:w="60"/>
              <w:left w:type="dxa" w:w="80"/>
              <w:bottom w:type="dxa" w:w="60"/>
              <w:right w:type="dxa" w:w="80"/>
            </w:tcMar>
          </w:tcPr>
          <w:p>
            <w:r>
              <w:rPr>
                <w:b w:val="false"/>
                <w:bCs w:val="false"/>
                <w:sz w:val="18"/>
                <w:szCs w:val="18"/>
              </w:rPr>
              <w:t xml:space="preserve">V1</w:t>
            </w:r>
          </w:p>
        </w:tc>
      </w:tr>
    </w:tbl>
    <w:p>
      <w:pPr>
        <w:spacing w:after="100"/>
      </w:pPr>
      <w:r>
        <w:rPr>
          <w:b/>
          <w:bCs/>
        </w:rPr>
        <w:t xml:space="preserve">Ruling: </w:t>
      </w:r>
      <w:r>
        <w:t xml:space="preserve">Approved — this is the best-designed idea in the set, because it is the passive complement that lets the popups stay rare: ambient discoverability with zero interruption. Constraints frozen: (1) DERIVED ONLY — every tick comes from existing facts (today's consultation row, today's visit row, billing prompt status, payment); the strip stores nothing and writes nothing, preserving One Writer absolutely; (2) appointment-aware — the steps shown depend on today's appointment type; a consultation-only day must never display an eternally-empty 'Treatment Visit ⬜' that trains clinicians to ignore incomplete states; (3) a recorded 'No Treatment Done Today' (Decision 2) renders the step as explicitly skipped, not pending — the two decisions share one truth; (4) one compact line on the patient header, shown only when a today's appointment exists — the moment it needs a second line or its own card, it has violated Decision 4's spirit and must be cut back.</w:t>
      </w:r>
    </w:p>
    <w:p>
      <w:pPr>
        <w:spacing w:after="100"/>
      </w:pPr>
      <w:r>
        <w:rPr>
          <w:b/>
          <w:bCs/>
        </w:rPr>
        <w:t xml:space="preserve">UX / Backend / AI: </w:t>
      </w:r>
      <w:r>
        <w:t xml:space="preserve">Answers 'what's left for this patient today?' at a glance — discoverability without clutter, and the passive fallback for every dismissed popup · read-side derivation over existing tables, no schema · none directly, but it visualizes exactly the event chain AI will read, making gaps visible to humans first.</w:t>
      </w:r>
    </w:p>
    <w:p>
      <w:pPr>
        <w:pStyle w:val="Heading1"/>
        <w:spacing w:after="200" w:before="400"/>
      </w:pPr>
      <w:r>
        <w:t xml:space="preserve">Final UX Freeze Decisions — implement before Production Freeze</w:t>
      </w:r>
    </w:p>
    <w:p>
      <w:pPr>
        <w:spacing w:after="120"/>
      </w:pPr>
      <w:r>
        <w:rPr>
          <w:i/>
          <w:iCs/>
        </w:rPr>
        <w:t xml:space="preserve">In implementation order. Items G1-G2 are gates that precede all UX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rPr>
          <w:tblHeader/>
        </w:trPr>
        <w:tc>
          <w:tcPr>
            <w:tcW w:type="dxa" w:w="700"/>
            <w:shd w:fill="D9E2F3" w:val="clear"/>
            <w:tcMar>
              <w:top w:type="dxa" w:w="60"/>
              <w:left w:type="dxa" w:w="80"/>
              <w:bottom w:type="dxa" w:w="60"/>
              <w:right w:type="dxa" w:w="80"/>
            </w:tcMar>
          </w:tcPr>
          <w:p>
            <w:r>
              <w:rPr>
                <w:b/>
                <w:bCs/>
                <w:sz w:val="18"/>
                <w:szCs w:val="18"/>
              </w:rPr>
              <w:t xml:space="preserve">#</w:t>
            </w:r>
          </w:p>
        </w:tc>
        <w:tc>
          <w:tcPr>
            <w:tcW w:type="dxa" w:w="6560"/>
            <w:shd w:fill="D9E2F3" w:val="clear"/>
            <w:tcMar>
              <w:top w:type="dxa" w:w="60"/>
              <w:left w:type="dxa" w:w="80"/>
              <w:bottom w:type="dxa" w:w="60"/>
              <w:right w:type="dxa" w:w="80"/>
            </w:tcMar>
          </w:tcPr>
          <w:p>
            <w:r>
              <w:rPr>
                <w:b/>
                <w:bCs/>
                <w:sz w:val="18"/>
                <w:szCs w:val="18"/>
              </w:rPr>
              <w:t xml:space="preserve">Decision</w:t>
            </w:r>
          </w:p>
        </w:tc>
        <w:tc>
          <w:tcPr>
            <w:tcW w:type="dxa" w:w="2100"/>
            <w:shd w:fill="D9E2F3" w:val="clear"/>
            <w:tcMar>
              <w:top w:type="dxa" w:w="60"/>
              <w:left w:type="dxa" w:w="80"/>
              <w:bottom w:type="dxa" w:w="60"/>
              <w:right w:type="dxa" w:w="80"/>
            </w:tcMar>
          </w:tcPr>
          <w:p>
            <w:r>
              <w:rPr>
                <w:b/>
                <w:bCs/>
                <w:sz w:val="18"/>
                <w:szCs w:val="18"/>
              </w:rPr>
              <w:t xml:space="preserve">Source</w:t>
            </w:r>
          </w:p>
        </w:tc>
      </w:tr>
      <w:tr>
        <w:tc>
          <w:tcPr>
            <w:tcW w:type="dxa" w:w="700"/>
            <w:tcMar>
              <w:top w:type="dxa" w:w="60"/>
              <w:left w:type="dxa" w:w="80"/>
              <w:bottom w:type="dxa" w:w="60"/>
              <w:right w:type="dxa" w:w="80"/>
            </w:tcMar>
          </w:tcPr>
          <w:p>
            <w:r>
              <w:rPr>
                <w:b w:val="false"/>
                <w:bCs w:val="false"/>
                <w:sz w:val="18"/>
                <w:szCs w:val="18"/>
              </w:rPr>
              <w:t xml:space="preserve">G1</w:t>
            </w:r>
          </w:p>
        </w:tc>
        <w:tc>
          <w:tcPr>
            <w:tcW w:type="dxa" w:w="6560"/>
            <w:tcMar>
              <w:top w:type="dxa" w:w="60"/>
              <w:left w:type="dxa" w:w="80"/>
              <w:bottom w:type="dxa" w:w="60"/>
              <w:right w:type="dxa" w:w="80"/>
            </w:tcMar>
          </w:tcPr>
          <w:p>
            <w:r>
              <w:rPr>
                <w:b w:val="false"/>
                <w:bCs w:val="false"/>
                <w:sz w:val="18"/>
                <w:szCs w:val="18"/>
              </w:rPr>
              <w:t xml:space="preserve">Fix the two confirmed P0s first: add api.role:module:patients,view to the two exposed API visit-read routes (routes/api.php:253-254), and close the soft-delete orphan gap. Both are proven by executed failing tests, not opinion.</w:t>
            </w:r>
          </w:p>
        </w:tc>
        <w:tc>
          <w:tcPr>
            <w:tcW w:type="dxa" w:w="2100"/>
            <w:tcMar>
              <w:top w:type="dxa" w:w="60"/>
              <w:left w:type="dxa" w:w="80"/>
              <w:bottom w:type="dxa" w:w="60"/>
              <w:right w:type="dxa" w:w="80"/>
            </w:tcMar>
          </w:tcPr>
          <w:p>
            <w:r>
              <w:rPr>
                <w:b w:val="false"/>
                <w:bCs w:val="false"/>
                <w:sz w:val="18"/>
                <w:szCs w:val="18"/>
              </w:rPr>
              <w:t xml:space="preserve">Security/integrity gate</w:t>
            </w:r>
          </w:p>
        </w:tc>
      </w:tr>
      <w:tr>
        <w:tc>
          <w:tcPr>
            <w:tcW w:type="dxa" w:w="700"/>
            <w:tcMar>
              <w:top w:type="dxa" w:w="60"/>
              <w:left w:type="dxa" w:w="80"/>
              <w:bottom w:type="dxa" w:w="60"/>
              <w:right w:type="dxa" w:w="80"/>
            </w:tcMar>
          </w:tcPr>
          <w:p>
            <w:r>
              <w:rPr>
                <w:b w:val="false"/>
                <w:bCs w:val="false"/>
                <w:sz w:val="18"/>
                <w:szCs w:val="18"/>
              </w:rPr>
              <w:t xml:space="preserve">G2</w:t>
            </w:r>
          </w:p>
        </w:tc>
        <w:tc>
          <w:tcPr>
            <w:tcW w:type="dxa" w:w="6560"/>
            <w:tcMar>
              <w:top w:type="dxa" w:w="60"/>
              <w:left w:type="dxa" w:w="80"/>
              <w:bottom w:type="dxa" w:w="60"/>
              <w:right w:type="dxa" w:w="80"/>
            </w:tcMar>
          </w:tcPr>
          <w:p>
            <w:r>
              <w:rPr>
                <w:b w:val="false"/>
                <w:bCs w:val="false"/>
                <w:sz w:val="18"/>
                <w:szCs w:val="18"/>
              </w:rPr>
              <w:t xml:space="preserve">Re-run the 33-test Treatment Visits suite after G1; the two intentionally-failing tests must flip to green before freeze is declared.</w:t>
            </w:r>
          </w:p>
        </w:tc>
        <w:tc>
          <w:tcPr>
            <w:tcW w:type="dxa" w:w="2100"/>
            <w:tcMar>
              <w:top w:type="dxa" w:w="60"/>
              <w:left w:type="dxa" w:w="80"/>
              <w:bottom w:type="dxa" w:w="60"/>
              <w:right w:type="dxa" w:w="80"/>
            </w:tcMar>
          </w:tcPr>
          <w:p>
            <w:r>
              <w:rPr>
                <w:b w:val="false"/>
                <w:bCs w:val="false"/>
                <w:sz w:val="18"/>
                <w:szCs w:val="18"/>
              </w:rPr>
              <w:t xml:space="preserve">Verification gate</w:t>
            </w:r>
          </w:p>
        </w:tc>
      </w:tr>
      <w:tr>
        <w:tc>
          <w:tcPr>
            <w:tcW w:type="dxa" w:w="700"/>
            <w:tcMar>
              <w:top w:type="dxa" w:w="60"/>
              <w:left w:type="dxa" w:w="80"/>
              <w:bottom w:type="dxa" w:w="60"/>
              <w:right w:type="dxa" w:w="80"/>
            </w:tcMar>
          </w:tcPr>
          <w:p>
            <w:r>
              <w:rPr>
                <w:b w:val="false"/>
                <w:bCs w:val="false"/>
                <w:sz w:val="18"/>
                <w:szCs w:val="18"/>
              </w:rPr>
              <w:t xml:space="preserve">1</w:t>
            </w:r>
          </w:p>
        </w:tc>
        <w:tc>
          <w:tcPr>
            <w:tcW w:type="dxa" w:w="6560"/>
            <w:tcMar>
              <w:top w:type="dxa" w:w="60"/>
              <w:left w:type="dxa" w:w="80"/>
              <w:bottom w:type="dxa" w:w="60"/>
              <w:right w:type="dxa" w:w="80"/>
            </w:tcMar>
          </w:tcPr>
          <w:p>
            <w:r>
              <w:rPr>
                <w:b w:val="false"/>
                <w:bCs w:val="false"/>
                <w:sz w:val="18"/>
                <w:szCs w:val="18"/>
              </w:rPr>
              <w:t xml:space="preserve">Remove KPI cards, dashboard elements and filter chips from the Treatment Visits tab (optionally keep one Billing Pending toggle).</w:t>
            </w:r>
          </w:p>
        </w:tc>
        <w:tc>
          <w:tcPr>
            <w:tcW w:type="dxa" w:w="2100"/>
            <w:tcMar>
              <w:top w:type="dxa" w:w="60"/>
              <w:left w:type="dxa" w:w="80"/>
              <w:bottom w:type="dxa" w:w="60"/>
              <w:right w:type="dxa" w:w="80"/>
            </w:tcMar>
          </w:tcPr>
          <w:p>
            <w:r>
              <w:rPr>
                <w:b w:val="false"/>
                <w:bCs w:val="false"/>
                <w:sz w:val="18"/>
                <w:szCs w:val="18"/>
              </w:rPr>
              <w:t xml:space="preserve">Decision 4</w:t>
            </w:r>
          </w:p>
        </w:tc>
      </w:tr>
      <w:tr>
        <w:tc>
          <w:tcPr>
            <w:tcW w:type="dxa" w:w="700"/>
            <w:tcMar>
              <w:top w:type="dxa" w:w="60"/>
              <w:left w:type="dxa" w:w="80"/>
              <w:bottom w:type="dxa" w:w="60"/>
              <w:right w:type="dxa" w:w="80"/>
            </w:tcMar>
          </w:tcPr>
          <w:p>
            <w:r>
              <w:rPr>
                <w:b w:val="false"/>
                <w:bCs w:val="false"/>
                <w:sz w:val="18"/>
                <w:szCs w:val="18"/>
              </w:rPr>
              <w:t xml:space="preserve">2</w:t>
            </w:r>
          </w:p>
        </w:tc>
        <w:tc>
          <w:tcPr>
            <w:tcW w:type="dxa" w:w="6560"/>
            <w:tcMar>
              <w:top w:type="dxa" w:w="60"/>
              <w:left w:type="dxa" w:w="80"/>
              <w:bottom w:type="dxa" w:w="60"/>
              <w:right w:type="dxa" w:w="80"/>
            </w:tcMar>
          </w:tcPr>
          <w:p>
            <w:r>
              <w:rPr>
                <w:b w:val="false"/>
                <w:bCs w:val="false"/>
                <w:sz w:val="18"/>
                <w:szCs w:val="18"/>
              </w:rPr>
              <w:t xml:space="preserve">URL-based tab persistence + deep links; explicit link beats inferred default.</w:t>
            </w:r>
          </w:p>
        </w:tc>
        <w:tc>
          <w:tcPr>
            <w:tcW w:type="dxa" w:w="2100"/>
            <w:tcMar>
              <w:top w:type="dxa" w:w="60"/>
              <w:left w:type="dxa" w:w="80"/>
              <w:bottom w:type="dxa" w:w="60"/>
              <w:right w:type="dxa" w:w="80"/>
            </w:tcMar>
          </w:tcPr>
          <w:p>
            <w:r>
              <w:rPr>
                <w:b w:val="false"/>
                <w:bCs w:val="false"/>
                <w:sz w:val="18"/>
                <w:szCs w:val="18"/>
              </w:rPr>
              <w:t xml:space="preserve">Decision 5</w:t>
            </w:r>
          </w:p>
        </w:tc>
      </w:tr>
      <w:tr>
        <w:tc>
          <w:tcPr>
            <w:tcW w:type="dxa" w:w="700"/>
            <w:tcMar>
              <w:top w:type="dxa" w:w="60"/>
              <w:left w:type="dxa" w:w="80"/>
              <w:bottom w:type="dxa" w:w="60"/>
              <w:right w:type="dxa" w:w="80"/>
            </w:tcMar>
          </w:tcPr>
          <w:p>
            <w:r>
              <w:rPr>
                <w:b w:val="false"/>
                <w:bCs w:val="false"/>
                <w:sz w:val="18"/>
                <w:szCs w:val="18"/>
              </w:rPr>
              <w:t xml:space="preserve">3</w:t>
            </w:r>
          </w:p>
        </w:tc>
        <w:tc>
          <w:tcPr>
            <w:tcW w:type="dxa" w:w="6560"/>
            <w:tcMar>
              <w:top w:type="dxa" w:w="60"/>
              <w:left w:type="dxa" w:w="80"/>
              <w:bottom w:type="dxa" w:w="60"/>
              <w:right w:type="dxa" w:w="80"/>
            </w:tcMar>
          </w:tcPr>
          <w:p>
            <w:r>
              <w:rPr>
                <w:b w:val="false"/>
                <w:bCs w:val="false"/>
                <w:sz w:val="18"/>
                <w:szCs w:val="18"/>
              </w:rPr>
              <w:t xml:space="preserve">Appointment-type default opening tab with the frozen fallback rules.</w:t>
            </w:r>
          </w:p>
        </w:tc>
        <w:tc>
          <w:tcPr>
            <w:tcW w:type="dxa" w:w="2100"/>
            <w:tcMar>
              <w:top w:type="dxa" w:w="60"/>
              <w:left w:type="dxa" w:w="80"/>
              <w:bottom w:type="dxa" w:w="60"/>
              <w:right w:type="dxa" w:w="80"/>
            </w:tcMar>
          </w:tcPr>
          <w:p>
            <w:r>
              <w:rPr>
                <w:b w:val="false"/>
                <w:bCs w:val="false"/>
                <w:sz w:val="18"/>
                <w:szCs w:val="18"/>
              </w:rPr>
              <w:t xml:space="preserve">Decision 1</w:t>
            </w:r>
          </w:p>
        </w:tc>
      </w:tr>
      <w:tr>
        <w:tc>
          <w:tcPr>
            <w:tcW w:type="dxa" w:w="700"/>
            <w:tcMar>
              <w:top w:type="dxa" w:w="60"/>
              <w:left w:type="dxa" w:w="80"/>
              <w:bottom w:type="dxa" w:w="60"/>
              <w:right w:type="dxa" w:w="80"/>
            </w:tcMar>
          </w:tcPr>
          <w:p>
            <w:r>
              <w:rPr>
                <w:b w:val="false"/>
                <w:bCs w:val="false"/>
                <w:sz w:val="18"/>
                <w:szCs w:val="18"/>
              </w:rPr>
              <w:t xml:space="preserve">4</w:t>
            </w:r>
          </w:p>
        </w:tc>
        <w:tc>
          <w:tcPr>
            <w:tcW w:type="dxa" w:w="6560"/>
            <w:tcMar>
              <w:top w:type="dxa" w:w="60"/>
              <w:left w:type="dxa" w:w="80"/>
              <w:bottom w:type="dxa" w:w="60"/>
              <w:right w:type="dxa" w:w="80"/>
            </w:tcMar>
          </w:tcPr>
          <w:p>
            <w:r>
              <w:rPr>
                <w:b w:val="false"/>
                <w:bCs w:val="false"/>
                <w:sz w:val="18"/>
                <w:szCs w:val="18"/>
              </w:rPr>
              <w:t xml:space="preserve">Post-consultation-save gate popup: two buttons, recorded 'No Treatment Done Today', no 'Remind Me Later'.</w:t>
            </w:r>
          </w:p>
        </w:tc>
        <w:tc>
          <w:tcPr>
            <w:tcW w:type="dxa" w:w="2100"/>
            <w:tcMar>
              <w:top w:type="dxa" w:w="60"/>
              <w:left w:type="dxa" w:w="80"/>
              <w:bottom w:type="dxa" w:w="60"/>
              <w:right w:type="dxa" w:w="80"/>
            </w:tcMar>
          </w:tcPr>
          <w:p>
            <w:r>
              <w:rPr>
                <w:b w:val="false"/>
                <w:bCs w:val="false"/>
                <w:sz w:val="18"/>
                <w:szCs w:val="18"/>
              </w:rPr>
              <w:t xml:space="preserve">Decision 2</w:t>
            </w:r>
          </w:p>
        </w:tc>
      </w:tr>
      <w:tr>
        <w:tc>
          <w:tcPr>
            <w:tcW w:type="dxa" w:w="700"/>
            <w:tcMar>
              <w:top w:type="dxa" w:w="60"/>
              <w:left w:type="dxa" w:w="80"/>
              <w:bottom w:type="dxa" w:w="60"/>
              <w:right w:type="dxa" w:w="80"/>
            </w:tcMar>
          </w:tcPr>
          <w:p>
            <w:r>
              <w:rPr>
                <w:b w:val="false"/>
                <w:bCs w:val="false"/>
                <w:sz w:val="18"/>
                <w:szCs w:val="18"/>
              </w:rPr>
              <w:t xml:space="preserve">5</w:t>
            </w:r>
          </w:p>
        </w:tc>
        <w:tc>
          <w:tcPr>
            <w:tcW w:type="dxa" w:w="6560"/>
            <w:tcMar>
              <w:top w:type="dxa" w:w="60"/>
              <w:left w:type="dxa" w:w="80"/>
              <w:bottom w:type="dxa" w:w="60"/>
              <w:right w:type="dxa" w:w="80"/>
            </w:tcMar>
          </w:tcPr>
          <w:p>
            <w:r>
              <w:rPr>
                <w:b w:val="false"/>
                <w:bCs w:val="false"/>
                <w:sz w:val="18"/>
                <w:szCs w:val="18"/>
              </w:rPr>
              <w:t xml:space="preserve">Prefilled visit handoff (accepted plans only; never guess between multiple).</w:t>
            </w:r>
          </w:p>
        </w:tc>
        <w:tc>
          <w:tcPr>
            <w:tcW w:type="dxa" w:w="2100"/>
            <w:tcMar>
              <w:top w:type="dxa" w:w="60"/>
              <w:left w:type="dxa" w:w="80"/>
              <w:bottom w:type="dxa" w:w="60"/>
              <w:right w:type="dxa" w:w="80"/>
            </w:tcMar>
          </w:tcPr>
          <w:p>
            <w:r>
              <w:rPr>
                <w:b w:val="false"/>
                <w:bCs w:val="false"/>
                <w:sz w:val="18"/>
                <w:szCs w:val="18"/>
              </w:rPr>
              <w:t xml:space="preserve">Decision 3</w:t>
            </w:r>
          </w:p>
        </w:tc>
      </w:tr>
      <w:tr>
        <w:tc>
          <w:tcPr>
            <w:tcW w:type="dxa" w:w="700"/>
            <w:tcMar>
              <w:top w:type="dxa" w:w="60"/>
              <w:left w:type="dxa" w:w="80"/>
              <w:bottom w:type="dxa" w:w="60"/>
              <w:right w:type="dxa" w:w="80"/>
            </w:tcMar>
          </w:tcPr>
          <w:p>
            <w:r>
              <w:rPr>
                <w:b w:val="false"/>
                <w:bCs w:val="false"/>
                <w:sz w:val="18"/>
                <w:szCs w:val="18"/>
              </w:rPr>
              <w:t xml:space="preserve">6</w:t>
            </w:r>
          </w:p>
        </w:tc>
        <w:tc>
          <w:tcPr>
            <w:tcW w:type="dxa" w:w="6560"/>
            <w:tcMar>
              <w:top w:type="dxa" w:w="60"/>
              <w:left w:type="dxa" w:w="80"/>
              <w:bottom w:type="dxa" w:w="60"/>
              <w:right w:type="dxa" w:w="80"/>
            </w:tcMar>
          </w:tcPr>
          <w:p>
            <w:r>
              <w:rPr>
                <w:b w:val="false"/>
                <w:bCs w:val="false"/>
                <w:sz w:val="18"/>
                <w:szCs w:val="18"/>
              </w:rPr>
              <w:t xml:space="preserve">Derived workflow progress strip on the patient header (derived-only, appointment-aware, one line).</w:t>
            </w:r>
          </w:p>
        </w:tc>
        <w:tc>
          <w:tcPr>
            <w:tcW w:type="dxa" w:w="2100"/>
            <w:tcMar>
              <w:top w:type="dxa" w:w="60"/>
              <w:left w:type="dxa" w:w="80"/>
              <w:bottom w:type="dxa" w:w="60"/>
              <w:right w:type="dxa" w:w="80"/>
            </w:tcMar>
          </w:tcPr>
          <w:p>
            <w:r>
              <w:rPr>
                <w:b w:val="false"/>
                <w:bCs w:val="false"/>
                <w:sz w:val="18"/>
                <w:szCs w:val="18"/>
              </w:rPr>
              <w:t xml:space="preserve">Decision 9</w:t>
            </w:r>
          </w:p>
        </w:tc>
      </w:tr>
      <w:tr>
        <w:tc>
          <w:tcPr>
            <w:tcW w:type="dxa" w:w="700"/>
            <w:tcMar>
              <w:top w:type="dxa" w:w="60"/>
              <w:left w:type="dxa" w:w="80"/>
              <w:bottom w:type="dxa" w:w="60"/>
              <w:right w:type="dxa" w:w="80"/>
            </w:tcMar>
          </w:tcPr>
          <w:p>
            <w:r>
              <w:rPr>
                <w:b w:val="false"/>
                <w:bCs w:val="false"/>
                <w:sz w:val="18"/>
                <w:szCs w:val="18"/>
              </w:rPr>
              <w:t xml:space="preserve">7</w:t>
            </w:r>
          </w:p>
        </w:tc>
        <w:tc>
          <w:tcPr>
            <w:tcW w:type="dxa" w:w="6560"/>
            <w:tcMar>
              <w:top w:type="dxa" w:w="60"/>
              <w:left w:type="dxa" w:w="80"/>
              <w:bottom w:type="dxa" w:w="60"/>
              <w:right w:type="dxa" w:w="80"/>
            </w:tcMar>
          </w:tcPr>
          <w:p>
            <w:r>
              <w:rPr>
                <w:b w:val="false"/>
                <w:bCs w:val="false"/>
                <w:sz w:val="18"/>
                <w:szCs w:val="18"/>
              </w:rPr>
              <w:t xml:space="preserve">Role-differentiated event surfacing: reception/billing queue badge with 30s polling, lab badge, owner notification center, nothing for the doctor.</w:t>
            </w:r>
          </w:p>
        </w:tc>
        <w:tc>
          <w:tcPr>
            <w:tcW w:type="dxa" w:w="2100"/>
            <w:tcMar>
              <w:top w:type="dxa" w:w="60"/>
              <w:left w:type="dxa" w:w="80"/>
              <w:bottom w:type="dxa" w:w="60"/>
              <w:right w:type="dxa" w:w="80"/>
            </w:tcMar>
          </w:tcPr>
          <w:p>
            <w:r>
              <w:rPr>
                <w:b w:val="false"/>
                <w:bCs w:val="false"/>
                <w:sz w:val="18"/>
                <w:szCs w:val="18"/>
              </w:rPr>
              <w:t xml:space="preserve">Decision 8</w:t>
            </w:r>
          </w:p>
        </w:tc>
      </w:tr>
      <w:tr>
        <w:tc>
          <w:tcPr>
            <w:tcW w:type="dxa" w:w="700"/>
            <w:tcMar>
              <w:top w:type="dxa" w:w="60"/>
              <w:left w:type="dxa" w:w="80"/>
              <w:bottom w:type="dxa" w:w="60"/>
              <w:right w:type="dxa" w:w="80"/>
            </w:tcMar>
          </w:tcPr>
          <w:p>
            <w:r>
              <w:rPr>
                <w:b w:val="false"/>
                <w:bCs w:val="false"/>
                <w:sz w:val="18"/>
                <w:szCs w:val="18"/>
              </w:rPr>
              <w:t xml:space="preserve">8</w:t>
            </w:r>
          </w:p>
        </w:tc>
        <w:tc>
          <w:tcPr>
            <w:tcW w:type="dxa" w:w="6560"/>
            <w:tcMar>
              <w:top w:type="dxa" w:w="60"/>
              <w:left w:type="dxa" w:w="80"/>
              <w:bottom w:type="dxa" w:w="60"/>
              <w:right w:type="dxa" w:w="80"/>
            </w:tcMar>
          </w:tcPr>
          <w:p>
            <w:r>
              <w:rPr>
                <w:b w:val="false"/>
                <w:bCs w:val="false"/>
                <w:sz w:val="18"/>
                <w:szCs w:val="18"/>
              </w:rPr>
              <w:t xml:space="preserve">End-of-day loose-end line on Huddle/Today: treatment appointments without a visit; visits with unactioned billing prompts.</w:t>
            </w:r>
          </w:p>
        </w:tc>
        <w:tc>
          <w:tcPr>
            <w:tcW w:type="dxa" w:w="2100"/>
            <w:tcMar>
              <w:top w:type="dxa" w:w="60"/>
              <w:left w:type="dxa" w:w="80"/>
              <w:bottom w:type="dxa" w:w="60"/>
              <w:right w:type="dxa" w:w="80"/>
            </w:tcMar>
          </w:tcPr>
          <w:p>
            <w:r>
              <w:rPr>
                <w:b w:val="false"/>
                <w:bCs w:val="false"/>
                <w:sz w:val="18"/>
                <w:szCs w:val="18"/>
              </w:rPr>
              <w:t xml:space="preserve">Decision 2 escalation</w:t>
            </w:r>
          </w:p>
        </w:tc>
      </w:tr>
      <w:tr>
        <w:tc>
          <w:tcPr>
            <w:tcW w:type="dxa" w:w="700"/>
            <w:tcMar>
              <w:top w:type="dxa" w:w="60"/>
              <w:left w:type="dxa" w:w="80"/>
              <w:bottom w:type="dxa" w:w="60"/>
              <w:right w:type="dxa" w:w="80"/>
            </w:tcMar>
          </w:tcPr>
          <w:p>
            <w:r>
              <w:rPr>
                <w:b w:val="false"/>
                <w:bCs w:val="false"/>
                <w:sz w:val="18"/>
                <w:szCs w:val="18"/>
              </w:rPr>
              <w:t xml:space="preserve">9</w:t>
            </w:r>
          </w:p>
        </w:tc>
        <w:tc>
          <w:tcPr>
            <w:tcW w:type="dxa" w:w="6560"/>
            <w:tcMar>
              <w:top w:type="dxa" w:w="60"/>
              <w:left w:type="dxa" w:w="80"/>
              <w:bottom w:type="dxa" w:w="60"/>
              <w:right w:type="dxa" w:w="80"/>
            </w:tcMar>
          </w:tcPr>
          <w:p>
            <w:r>
              <w:rPr>
                <w:b w:val="false"/>
                <w:bCs w:val="false"/>
                <w:sz w:val="18"/>
                <w:szCs w:val="18"/>
              </w:rPr>
              <w:t xml:space="preserve">Shared prescription UI component mounted from all three entry points (UI only; existing writers).</w:t>
            </w:r>
          </w:p>
        </w:tc>
        <w:tc>
          <w:tcPr>
            <w:tcW w:type="dxa" w:w="2100"/>
            <w:tcMar>
              <w:top w:type="dxa" w:w="60"/>
              <w:left w:type="dxa" w:w="80"/>
              <w:bottom w:type="dxa" w:w="60"/>
              <w:right w:type="dxa" w:w="80"/>
            </w:tcMar>
          </w:tcPr>
          <w:p>
            <w:r>
              <w:rPr>
                <w:b w:val="false"/>
                <w:bCs w:val="false"/>
                <w:sz w:val="18"/>
                <w:szCs w:val="18"/>
              </w:rPr>
              <w:t xml:space="preserve">Decision 6, V1 half</w:t>
            </w:r>
          </w:p>
        </w:tc>
      </w:tr>
      <w:tr>
        <w:tc>
          <w:tcPr>
            <w:tcW w:type="dxa" w:w="700"/>
            <w:tcMar>
              <w:top w:type="dxa" w:w="60"/>
              <w:left w:type="dxa" w:w="80"/>
              <w:bottom w:type="dxa" w:w="60"/>
              <w:right w:type="dxa" w:w="80"/>
            </w:tcMar>
          </w:tcPr>
          <w:p>
            <w:r>
              <w:rPr>
                <w:b w:val="false"/>
                <w:bCs w:val="false"/>
                <w:sz w:val="18"/>
                <w:szCs w:val="18"/>
              </w:rPr>
              <w:t xml:space="preserve">10</w:t>
            </w:r>
          </w:p>
        </w:tc>
        <w:tc>
          <w:tcPr>
            <w:tcW w:type="dxa" w:w="6560"/>
            <w:tcMar>
              <w:top w:type="dxa" w:w="60"/>
              <w:left w:type="dxa" w:w="80"/>
              <w:bottom w:type="dxa" w:w="60"/>
              <w:right w:type="dxa" w:w="80"/>
            </w:tcMar>
          </w:tcPr>
          <w:p>
            <w:r>
              <w:rPr>
                <w:b w:val="false"/>
                <w:bCs w:val="false"/>
                <w:sz w:val="18"/>
                <w:szCs w:val="18"/>
              </w:rPr>
              <w:t xml:space="preserve">Adopt the four popup-governance rules as written product policy binding all future modules.</w:t>
            </w:r>
          </w:p>
        </w:tc>
        <w:tc>
          <w:tcPr>
            <w:tcW w:type="dxa" w:w="2100"/>
            <w:tcMar>
              <w:top w:type="dxa" w:w="60"/>
              <w:left w:type="dxa" w:w="80"/>
              <w:bottom w:type="dxa" w:w="60"/>
              <w:right w:type="dxa" w:w="80"/>
            </w:tcMar>
          </w:tcPr>
          <w:p>
            <w:r>
              <w:rPr>
                <w:b w:val="false"/>
                <w:bCs w:val="false"/>
                <w:sz w:val="18"/>
                <w:szCs w:val="18"/>
              </w:rPr>
              <w:t xml:space="preserve">Decision 7</w:t>
            </w:r>
          </w:p>
        </w:tc>
      </w:tr>
    </w:tbl>
    <w:p>
      <w:pPr>
        <w:pStyle w:val="Heading1"/>
        <w:spacing w:after="200" w:before="400"/>
      </w:pPr>
      <w:r>
        <w:t xml:space="preserve">Items Explicitly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9E2F3" w:val="clear"/>
            <w:tcMar>
              <w:top w:type="dxa" w:w="60"/>
              <w:left w:type="dxa" w:w="80"/>
              <w:bottom w:type="dxa" w:w="60"/>
              <w:right w:type="dxa" w:w="80"/>
            </w:tcMar>
          </w:tcPr>
          <w:p>
            <w:r>
              <w:rPr>
                <w:b/>
                <w:bCs/>
                <w:sz w:val="18"/>
                <w:szCs w:val="18"/>
              </w:rPr>
              <w:t xml:space="preserve">Rejected item</w:t>
            </w:r>
          </w:p>
        </w:tc>
        <w:tc>
          <w:tcPr>
            <w:tcW w:type="dxa" w:w="5960"/>
            <w:shd w:fill="D9E2F3" w:val="clear"/>
            <w:tcMar>
              <w:top w:type="dxa" w:w="60"/>
              <w:left w:type="dxa" w:w="80"/>
              <w:bottom w:type="dxa" w:w="60"/>
              <w:right w:type="dxa" w:w="80"/>
            </w:tcMar>
          </w:tcPr>
          <w:p>
            <w:r>
              <w:rPr>
                <w:b/>
                <w:bCs/>
                <w:sz w:val="18"/>
                <w:szCs w:val="18"/>
              </w:rPr>
              <w:t xml:space="preserve">Why</w:t>
            </w:r>
          </w:p>
        </w:tc>
      </w:tr>
      <w:tr>
        <w:tc>
          <w:tcPr>
            <w:tcW w:type="dxa" w:w="3400"/>
            <w:tcMar>
              <w:top w:type="dxa" w:w="60"/>
              <w:left w:type="dxa" w:w="80"/>
              <w:bottom w:type="dxa" w:w="60"/>
              <w:right w:type="dxa" w:w="80"/>
            </w:tcMar>
          </w:tcPr>
          <w:p>
            <w:r>
              <w:rPr>
                <w:b w:val="false"/>
                <w:bCs w:val="false"/>
                <w:sz w:val="18"/>
                <w:szCs w:val="18"/>
              </w:rPr>
              <w:t xml:space="preserve">'Remind Me Later' button on the gate popup</w:t>
            </w:r>
          </w:p>
        </w:tc>
        <w:tc>
          <w:tcPr>
            <w:tcW w:type="dxa" w:w="5960"/>
            <w:tcMar>
              <w:top w:type="dxa" w:w="60"/>
              <w:left w:type="dxa" w:w="80"/>
              <w:bottom w:type="dxa" w:w="60"/>
              <w:right w:type="dxa" w:w="80"/>
            </w:tcMar>
          </w:tcPr>
          <w:p>
            <w:r>
              <w:rPr>
                <w:b w:val="false"/>
                <w:bCs w:val="false"/>
                <w:sz w:val="18"/>
                <w:szCs w:val="18"/>
              </w:rPr>
              <w:t xml:space="preserve">Undefined re-fire = silent dismissal; makes the gate's failure rate unmeasurable. The 'later' need is served by the Huddle loose-end line and the progress strip instead.</w:t>
            </w:r>
          </w:p>
        </w:tc>
      </w:tr>
      <w:tr>
        <w:tc>
          <w:tcPr>
            <w:tcW w:type="dxa" w:w="3400"/>
            <w:tcMar>
              <w:top w:type="dxa" w:w="60"/>
              <w:left w:type="dxa" w:w="80"/>
              <w:bottom w:type="dxa" w:w="60"/>
              <w:right w:type="dxa" w:w="80"/>
            </w:tcMar>
          </w:tcPr>
          <w:p>
            <w:r>
              <w:rPr>
                <w:b w:val="false"/>
                <w:bCs w:val="false"/>
                <w:sz w:val="18"/>
                <w:szCs w:val="18"/>
              </w:rPr>
              <w:t xml:space="preserve">Modal popups to Reception, Billing or Lab on TreatmentVisitRecorded</w:t>
            </w:r>
          </w:p>
        </w:tc>
        <w:tc>
          <w:tcPr>
            <w:tcW w:type="dxa" w:w="5960"/>
            <w:tcMar>
              <w:top w:type="dxa" w:w="60"/>
              <w:left w:type="dxa" w:w="80"/>
              <w:bottom w:type="dxa" w:w="60"/>
              <w:right w:type="dxa" w:w="80"/>
            </w:tcMar>
          </w:tcPr>
          <w:p>
            <w:r>
              <w:rPr>
                <w:b w:val="false"/>
                <w:bCs w:val="false"/>
                <w:sz w:val="18"/>
                <w:szCs w:val="18"/>
              </w:rPr>
              <w:t xml:space="preserve">Interrupting another role mid-task is strictly worse than the verbal handoff being replaced. Queues respect task rhythm; modals override it.</w:t>
            </w:r>
          </w:p>
        </w:tc>
      </w:tr>
      <w:tr>
        <w:tc>
          <w:tcPr>
            <w:tcW w:type="dxa" w:w="3400"/>
            <w:tcMar>
              <w:top w:type="dxa" w:w="60"/>
              <w:left w:type="dxa" w:w="80"/>
              <w:bottom w:type="dxa" w:w="60"/>
              <w:right w:type="dxa" w:w="80"/>
            </w:tcMar>
          </w:tcPr>
          <w:p>
            <w:r>
              <w:rPr>
                <w:b w:val="false"/>
                <w:bCs w:val="false"/>
                <w:sz w:val="18"/>
                <w:szCs w:val="18"/>
              </w:rPr>
              <w:t xml:space="preserve">Prescription schema migration during the freeze window</w:t>
            </w:r>
          </w:p>
        </w:tc>
        <w:tc>
          <w:tcPr>
            <w:tcW w:type="dxa" w:w="5960"/>
            <w:tcMar>
              <w:top w:type="dxa" w:w="60"/>
              <w:left w:type="dxa" w:w="80"/>
              <w:bottom w:type="dxa" w:w="60"/>
              <w:right w:type="dxa" w:w="80"/>
            </w:tcMar>
          </w:tcPr>
          <w:p>
            <w:r>
              <w:rPr>
                <w:b w:val="false"/>
                <w:bCs w:val="false"/>
                <w:sz w:val="18"/>
                <w:szCs w:val="18"/>
              </w:rPr>
              <w:t xml:space="preserve">Data consolidation under deadline pressure is how clinical data gets corrupted. Architecture approved now; migration is V2.</w:t>
            </w:r>
          </w:p>
        </w:tc>
      </w:tr>
      <w:tr>
        <w:tc>
          <w:tcPr>
            <w:tcW w:type="dxa" w:w="3400"/>
            <w:tcMar>
              <w:top w:type="dxa" w:w="60"/>
              <w:left w:type="dxa" w:w="80"/>
              <w:bottom w:type="dxa" w:w="60"/>
              <w:right w:type="dxa" w:w="80"/>
            </w:tcMar>
          </w:tcPr>
          <w:p>
            <w:r>
              <w:rPr>
                <w:b w:val="false"/>
                <w:bCs w:val="false"/>
                <w:sz w:val="18"/>
                <w:szCs w:val="18"/>
              </w:rPr>
              <w:t xml:space="preserve">Persistent banners of any kind</w:t>
            </w:r>
          </w:p>
        </w:tc>
        <w:tc>
          <w:tcPr>
            <w:tcW w:type="dxa" w:w="5960"/>
            <w:tcMar>
              <w:top w:type="dxa" w:w="60"/>
              <w:left w:type="dxa" w:w="80"/>
              <w:bottom w:type="dxa" w:w="60"/>
              <w:right w:type="dxa" w:w="80"/>
            </w:tcMar>
          </w:tcPr>
          <w:p>
            <w:r>
              <w:rPr>
                <w:b w:val="false"/>
                <w:bCs w:val="false"/>
                <w:sz w:val="18"/>
                <w:szCs w:val="18"/>
              </w:rPr>
              <w:t xml:space="preserve">Banner blindness within a week. Replaced by governed contextual popups + passive indicators.</w:t>
            </w:r>
          </w:p>
        </w:tc>
      </w:tr>
      <w:tr>
        <w:tc>
          <w:tcPr>
            <w:tcW w:type="dxa" w:w="3400"/>
            <w:tcMar>
              <w:top w:type="dxa" w:w="60"/>
              <w:left w:type="dxa" w:w="80"/>
              <w:bottom w:type="dxa" w:w="60"/>
              <w:right w:type="dxa" w:w="80"/>
            </w:tcMar>
          </w:tcPr>
          <w:p>
            <w:r>
              <w:rPr>
                <w:b w:val="false"/>
                <w:bCs w:val="false"/>
                <w:sz w:val="18"/>
                <w:szCs w:val="18"/>
              </w:rPr>
              <w:t xml:space="preserve">Auto-selecting a plan when the patient has multiple accepted plans</w:t>
            </w:r>
          </w:p>
        </w:tc>
        <w:tc>
          <w:tcPr>
            <w:tcW w:type="dxa" w:w="5960"/>
            <w:tcMar>
              <w:top w:type="dxa" w:w="60"/>
              <w:left w:type="dxa" w:w="80"/>
              <w:bottom w:type="dxa" w:w="60"/>
              <w:right w:type="dxa" w:w="80"/>
            </w:tcMar>
          </w:tcPr>
          <w:p>
            <w:r>
              <w:rPr>
                <w:b w:val="false"/>
                <w:bCs w:val="false"/>
                <w:sz w:val="18"/>
                <w:szCs w:val="18"/>
              </w:rPr>
              <w:t xml:space="preserve">A wrong silent default in a clinical record costs more than one tap. Preselect none.</w:t>
            </w:r>
          </w:p>
        </w:tc>
      </w:tr>
      <w:tr>
        <w:tc>
          <w:tcPr>
            <w:tcW w:type="dxa" w:w="3400"/>
            <w:tcMar>
              <w:top w:type="dxa" w:w="60"/>
              <w:left w:type="dxa" w:w="80"/>
              <w:bottom w:type="dxa" w:w="60"/>
              <w:right w:type="dxa" w:w="80"/>
            </w:tcMar>
          </w:tcPr>
          <w:p>
            <w:r>
              <w:rPr>
                <w:b w:val="false"/>
                <w:bCs w:val="false"/>
                <w:sz w:val="18"/>
                <w:szCs w:val="18"/>
              </w:rPr>
              <w:t xml:space="preserve">Keeping the KPI cards 'but smaller' on the patient tab</w:t>
            </w:r>
          </w:p>
        </w:tc>
        <w:tc>
          <w:tcPr>
            <w:tcW w:type="dxa" w:w="5960"/>
            <w:tcMar>
              <w:top w:type="dxa" w:w="60"/>
              <w:left w:type="dxa" w:w="80"/>
              <w:bottom w:type="dxa" w:w="60"/>
              <w:right w:type="dxa" w:w="80"/>
            </w:tcMar>
          </w:tcPr>
          <w:p>
            <w:r>
              <w:rPr>
                <w:b w:val="false"/>
                <w:bCs w:val="false"/>
                <w:sz w:val="18"/>
                <w:szCs w:val="18"/>
              </w:rPr>
              <w:t xml:space="preserve">Wrong surface, any size. Aggregates move to a clinic-wide report in V2.</w:t>
            </w:r>
          </w:p>
        </w:tc>
      </w:tr>
      <w:tr>
        <w:tc>
          <w:tcPr>
            <w:tcW w:type="dxa" w:w="3400"/>
            <w:tcMar>
              <w:top w:type="dxa" w:w="60"/>
              <w:left w:type="dxa" w:w="80"/>
              <w:bottom w:type="dxa" w:w="60"/>
              <w:right w:type="dxa" w:w="80"/>
            </w:tcMar>
          </w:tcPr>
          <w:p>
            <w:r>
              <w:rPr>
                <w:b w:val="false"/>
                <w:bCs w:val="false"/>
                <w:sz w:val="18"/>
                <w:szCs w:val="18"/>
              </w:rPr>
              <w:t xml:space="preserve">Locking or hiding tabs based on appointment type</w:t>
            </w:r>
          </w:p>
        </w:tc>
        <w:tc>
          <w:tcPr>
            <w:tcW w:type="dxa" w:w="5960"/>
            <w:tcMar>
              <w:top w:type="dxa" w:w="60"/>
              <w:left w:type="dxa" w:w="80"/>
              <w:bottom w:type="dxa" w:w="60"/>
              <w:right w:type="dxa" w:w="80"/>
            </w:tcMar>
          </w:tcPr>
          <w:p>
            <w:r>
              <w:rPr>
                <w:b w:val="false"/>
                <w:bCs w:val="false"/>
                <w:sz w:val="18"/>
                <w:szCs w:val="18"/>
              </w:rPr>
              <w:t xml:space="preserve">Defaults, never restrictions — appointment metadata is too unreliable to gate clinical navigation.</w:t>
            </w:r>
          </w:p>
        </w:tc>
      </w:tr>
      <w:tr>
        <w:tc>
          <w:tcPr>
            <w:tcW w:type="dxa" w:w="3400"/>
            <w:tcMar>
              <w:top w:type="dxa" w:w="60"/>
              <w:left w:type="dxa" w:w="80"/>
              <w:bottom w:type="dxa" w:w="60"/>
              <w:right w:type="dxa" w:w="80"/>
            </w:tcMar>
          </w:tcPr>
          <w:p>
            <w:r>
              <w:rPr>
                <w:b w:val="false"/>
                <w:bCs w:val="false"/>
                <w:sz w:val="18"/>
                <w:szCs w:val="18"/>
              </w:rPr>
              <w:t xml:space="preserve">Websockets / live push in V1</w:t>
            </w:r>
          </w:p>
        </w:tc>
        <w:tc>
          <w:tcPr>
            <w:tcW w:type="dxa" w:w="5960"/>
            <w:tcMar>
              <w:top w:type="dxa" w:w="60"/>
              <w:left w:type="dxa" w:w="80"/>
              <w:bottom w:type="dxa" w:w="60"/>
              <w:right w:type="dxa" w:w="80"/>
            </w:tcMar>
          </w:tcPr>
          <w:p>
            <w:r>
              <w:rPr>
                <w:b w:val="false"/>
                <w:bCs w:val="false"/>
                <w:sz w:val="18"/>
                <w:szCs w:val="18"/>
              </w:rPr>
              <w:t xml:space="preserve">Real new infrastructure surface during a freeze for a problem 30-second polling fully solves at single-clinic scale.</w:t>
            </w:r>
          </w:p>
        </w:tc>
      </w:tr>
      <w:tr>
        <w:tc>
          <w:tcPr>
            <w:tcW w:type="dxa" w:w="3400"/>
            <w:tcMar>
              <w:top w:type="dxa" w:w="60"/>
              <w:left w:type="dxa" w:w="80"/>
              <w:bottom w:type="dxa" w:w="60"/>
              <w:right w:type="dxa" w:w="80"/>
            </w:tcMar>
          </w:tcPr>
          <w:p>
            <w:r>
              <w:rPr>
                <w:b w:val="false"/>
                <w:bCs w:val="false"/>
                <w:sz w:val="18"/>
                <w:szCs w:val="18"/>
              </w:rPr>
              <w:t xml:space="preserve">Any merging of Consultation and Treatment Visit engines</w:t>
            </w:r>
          </w:p>
        </w:tc>
        <w:tc>
          <w:tcPr>
            <w:tcW w:type="dxa" w:w="5960"/>
            <w:tcMar>
              <w:top w:type="dxa" w:w="60"/>
              <w:left w:type="dxa" w:w="80"/>
              <w:bottom w:type="dxa" w:w="60"/>
              <w:right w:type="dxa" w:w="80"/>
            </w:tcMar>
          </w:tcPr>
          <w:p>
            <w:r>
              <w:rPr>
                <w:b w:val="false"/>
                <w:bCs w:val="false"/>
                <w:sz w:val="18"/>
                <w:szCs w:val="18"/>
              </w:rPr>
              <w:t xml:space="preserve">Out of scope by charter; the session-level unification belongs to the V2 encounter surface, over — not instead of — the frozen engines.</w:t>
            </w:r>
          </w:p>
        </w:tc>
      </w:tr>
    </w:tbl>
    <w:p>
      <w:pPr>
        <w:pStyle w:val="Heading1"/>
        <w:spacing w:after="200" w:before="400"/>
      </w:pPr>
      <w:r>
        <w:t xml:space="preserve">Permanent Dentfluence UX Principles</w:t>
      </w:r>
    </w:p>
    <w:p>
      <w:pPr>
        <w:spacing w:after="120"/>
      </w:pPr>
      <w:r>
        <w:rPr>
          <w:i/>
          <w:iCs/>
        </w:rPr>
        <w:t xml:space="preserve">Binding on every future module. Numbered for citation in future reviews.</w:t>
      </w:r>
    </w:p>
    <w:p>
      <w:pPr>
        <w:pStyle w:val="ListParagraph"/>
        <w:numPr>
          <w:ilvl w:val="0"/>
          <w:numId w:val="1"/>
        </w:numPr>
        <w:spacing w:after="60"/>
      </w:pPr>
      <w:r>
        <w:t xml:space="preserve">1. The clinician's unit of work is the session, not the module. Navigation must never expose database normalization.</w:t>
      </w:r>
    </w:p>
    <w:p>
      <w:pPr>
        <w:pStyle w:val="ListParagraph"/>
        <w:numPr>
          <w:ilvl w:val="0"/>
          <w:numId w:val="1"/>
        </w:numPr>
        <w:spacing w:after="60"/>
      </w:pPr>
      <w:r>
        <w:t xml:space="preserve">2. Defaults, never locks. The system may suggest a path; it may not restrict clinical navigation.</w:t>
      </w:r>
    </w:p>
    <w:p>
      <w:pPr>
        <w:pStyle w:val="ListParagraph"/>
        <w:numPr>
          <w:ilvl w:val="0"/>
          <w:numId w:val="1"/>
        </w:numPr>
        <w:spacing w:after="60"/>
      </w:pPr>
      <w:r>
        <w:t xml:space="preserve">3. Nudge at the moment of intent, at pause points only — never during data entry.</w:t>
      </w:r>
    </w:p>
    <w:p>
      <w:pPr>
        <w:pStyle w:val="ListParagraph"/>
        <w:numPr>
          <w:ilvl w:val="0"/>
          <w:numId w:val="1"/>
        </w:numPr>
        <w:spacing w:after="60"/>
      </w:pPr>
      <w:r>
        <w:t xml:space="preserve">4. At most one modal per action, and every dismissal is a recorded answer, never an unmeasured escape.</w:t>
      </w:r>
    </w:p>
    <w:p>
      <w:pPr>
        <w:pStyle w:val="ListParagraph"/>
        <w:numPr>
          <w:ilvl w:val="0"/>
          <w:numId w:val="1"/>
        </w:numPr>
        <w:spacing w:after="60"/>
      </w:pPr>
      <w:r>
        <w:t xml:space="preserve">5. The right path must be cheaper than the wrong path. Prefill and automation beat policing, every time.</w:t>
      </w:r>
    </w:p>
    <w:p>
      <w:pPr>
        <w:pStyle w:val="ListParagraph"/>
        <w:numPr>
          <w:ilvl w:val="0"/>
          <w:numId w:val="1"/>
        </w:numPr>
        <w:spacing w:after="60"/>
      </w:pPr>
      <w:r>
        <w:t xml:space="preserve">6. Data-entry surfaces stay minimal. Analytics live on reporting surfaces. Never mix the two.</w:t>
      </w:r>
    </w:p>
    <w:p>
      <w:pPr>
        <w:pStyle w:val="ListParagraph"/>
        <w:numPr>
          <w:ilvl w:val="0"/>
          <w:numId w:val="1"/>
        </w:numPr>
        <w:spacing w:after="60"/>
      </w:pPr>
      <w:r>
        <w:t xml:space="preserve">7. Interruption is role-proportional: actors get queues, supervisors get digests, and nobody gets a modal for someone else's event — including the event's author, who gets nothing.</w:t>
      </w:r>
    </w:p>
    <w:p>
      <w:pPr>
        <w:pStyle w:val="ListParagraph"/>
        <w:numPr>
          <w:ilvl w:val="0"/>
          <w:numId w:val="1"/>
        </w:numPr>
        <w:spacing w:after="60"/>
      </w:pPr>
      <w:r>
        <w:t xml:space="preserve">8. UI state is derived, never owned. Indicators read facts from the single writer; they keep no state of their own.</w:t>
      </w:r>
    </w:p>
    <w:p>
      <w:pPr>
        <w:pStyle w:val="ListParagraph"/>
        <w:numPr>
          <w:ilvl w:val="0"/>
          <w:numId w:val="1"/>
        </w:numPr>
        <w:spacing w:after="60"/>
      </w:pPr>
      <w:r>
        <w:t xml:space="preserve">9. Explicit intent beats inference. A deep link outranks a smart default.</w:t>
      </w:r>
    </w:p>
    <w:p>
      <w:pPr>
        <w:pStyle w:val="ListParagraph"/>
        <w:numPr>
          <w:ilvl w:val="0"/>
          <w:numId w:val="1"/>
        </w:numPr>
        <w:spacing w:after="60"/>
      </w:pPr>
      <w:r>
        <w:t xml:space="preserve">10. Every workflow signal fires from the event stream, never from human relay.</w:t>
      </w:r>
    </w:p>
    <w:p>
      <w:pPr>
        <w:pStyle w:val="Heading1"/>
        <w:spacing w:after="200" w:before="400"/>
      </w:pPr>
      <w:r>
        <w:t xml:space="preserve">Final Verdict</w:t>
      </w:r>
    </w:p>
    <w:p>
      <w:pPr>
        <w:spacing w:after="120"/>
      </w:pPr>
      <w:r>
        <w:rPr>
          <w:i/>
          <w:iCs/>
        </w:rPr>
        <w:t xml:space="preserve">If these decisions are implemented, is the Treatment Visits workflow simple enough for a clinician while remaining architecturally correct and scalable?</w:t>
      </w:r>
    </w:p>
    <w:p>
      <w:pPr>
        <w:spacing w:after="120"/>
      </w:pPr>
      <w:r>
        <w:rPr>
          <w:b/>
          <w:bCs/>
        </w:rPr>
        <w:t xml:space="preserve">YES — with two stated qualifications.</w:t>
      </w:r>
    </w:p>
    <w:p>
      <w:pPr>
        <w:spacing w:after="120"/>
      </w:pPr>
      <w:r>
        <w:t xml:space="preserve">Architecturally: unambiguous. Every approved decision spends on the read path and the UI; no frozen engine, no ownership boundary, and no writer is touched. One Owner Per Fact, One Writer, event-driven backend and AI readiness all survive intact — several decisions (2, 8, 9) actively strengthen them by driving more facts into the structures AI reads.</w:t>
      </w:r>
    </w:p>
    <w:p>
      <w:pPr>
        <w:spacing w:after="120"/>
      </w:pPr>
      <w:r>
        <w:t xml:space="preserve">On simplicity: the clinician's V1 experience becomes — open patient, land on the right tab, do the work, answer at most one question at save, watch the strip tick, walk away with reception already informed. That is 'One Patient → One Clinical Session → Done' in practice, achieved through defaults, prefill, one governed gate and ambient state rather than through restructuring.</w:t>
      </w:r>
    </w:p>
    <w:p>
      <w:pPr>
        <w:spacing w:after="120"/>
      </w:pPr>
      <w:r>
        <w:t xml:space="preserve">Qualification one: V1 makes the right path cheap, visible and self-announcing — but the clinician still visits two surfaces for one sitting. Full session-level simplicity is the V2 chairside encounter surface, and these decisions are deliberately sequenced so every one of them survives that evolution unchanged.</w:t>
      </w:r>
    </w:p>
    <w:p>
      <w:pPr>
        <w:spacing w:after="120"/>
      </w:pPr>
      <w:r>
        <w:t xml:space="preserve">Qualification two: this verdict is conditional on gates G1-G2. A workflow this clean sitting on two proven P0 defects — open PHI routes and billable orphans from deleted visits — is not freeze-ready no matter how good the UX is. Fix those first; then freeze with confidence.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2026-08-05T05:20:31.370Z</dcterms:created>
  <dcterms:modified xsi:type="dcterms:W3CDTF">2026-08-05T05:20:31.370Z</dcterms:modified>
</cp:coreProperties>
</file>

<file path=docProps/custom.xml><?xml version="1.0" encoding="utf-8"?>
<Properties xmlns="http://schemas.openxmlformats.org/officeDocument/2006/custom-properties" xmlns:vt="http://schemas.openxmlformats.org/officeDocument/2006/docPropsVTypes"/>
</file>