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600"/>
      </w:pPr>
      <w:r>
        <w:rPr>
          <w:b/>
          <w:bCs/>
          <w:color w:val="702070"/>
          <w:spacing w:val="20"/>
          <w:sz w:val="26"/>
          <w:szCs w:val="26"/>
        </w:rPr>
        <w:t xml:space="preserve">DENTFLUENCE OS</w:t>
      </w:r>
    </w:p>
    <w:p>
      <w:pPr>
        <w:spacing w:after="260"/>
      </w:pPr>
      <w:r>
        <w:rPr>
          <w:b/>
          <w:bCs/>
          <w:color w:val="1A1A1A"/>
          <w:sz w:val="48"/>
          <w:szCs w:val="48"/>
        </w:rPr>
        <w:t xml:space="preserve">Flat Module Architecture — Governance Redesign</w:t>
      </w:r>
    </w:p>
    <w:p>
      <w:pPr>
        <w:spacing w:after="400"/>
      </w:pPr>
      <w:r>
        <w:rPr>
          <w:i/>
          <w:iCs/>
          <w:color w:val="6B6470"/>
          <w:sz w:val="24"/>
          <w:szCs w:val="24"/>
        </w:rPr>
        <w:t xml:space="preserve">Retiring Domain → Module → Child Module in favor of Domain-tagged, dependency-linked, first-class Modules</w:t>
      </w:r>
    </w:p>
    <w:p>
      <w:pPr>
        <w:spacing w:after="70"/>
      </w:pPr>
      <w:r>
        <w:rPr>
          <w:color w:val="6B6470"/>
          <w:sz w:val="21"/>
          <w:szCs w:val="21"/>
        </w:rPr>
        <w:t xml:space="preserve">Prepared for:  </w:t>
      </w:r>
      <w:r>
        <w:rPr>
          <w:b/>
          <w:bCs/>
          <w:color w:val="1A1A1A"/>
          <w:sz w:val="21"/>
          <w:szCs w:val="21"/>
        </w:rPr>
        <w:t xml:space="preserve">Sumit Firke, Founder &amp; CEO, Dentfluence</w:t>
      </w:r>
    </w:p>
    <w:p>
      <w:pPr>
        <w:spacing w:after="70"/>
      </w:pPr>
      <w:r>
        <w:rPr>
          <w:color w:val="6B6470"/>
          <w:sz w:val="21"/>
          <w:szCs w:val="21"/>
        </w:rPr>
        <w:t xml:space="preserve">Prepared as:  </w:t>
      </w:r>
      <w:r>
        <w:rPr>
          <w:color w:val="1A1A1A"/>
          <w:sz w:val="21"/>
          <w:szCs w:val="21"/>
        </w:rPr>
        <w:t xml:space="preserve">Independent software-architecture / CTO-level review</w:t>
      </w:r>
    </w:p>
    <w:p>
      <w:pPr>
        <w:spacing w:after="70"/>
      </w:pPr>
      <w:r>
        <w:rPr>
          <w:color w:val="6B6470"/>
          <w:sz w:val="21"/>
          <w:szCs w:val="21"/>
        </w:rPr>
        <w:t xml:space="preserve">Supersedes:  </w:t>
      </w:r>
      <w:r>
        <w:rPr>
          <w:color w:val="1A1A1A"/>
          <w:sz w:val="21"/>
          <w:szCs w:val="21"/>
        </w:rPr>
        <w:t xml:space="preserve">The Domain→Module→Child-Module governance document and V2 dashboard built the prior session — this document explicitly abandons that hierarchy per new instruction.</w:t>
      </w:r>
    </w:p>
    <w:p>
      <w:pPr>
        <w:spacing w:after="70"/>
      </w:pPr>
      <w:r>
        <w:rPr>
          <w:color w:val="6B6470"/>
          <w:sz w:val="21"/>
          <w:szCs w:val="21"/>
        </w:rPr>
        <w:t xml:space="preserve">Scope:  </w:t>
      </w:r>
      <w:r>
        <w:rPr>
          <w:color w:val="1A1A1A"/>
          <w:sz w:val="21"/>
          <w:szCs w:val="21"/>
        </w:rPr>
        <w:t xml:space="preserve">Architecture and governance only. No code in this document. The dashboard code will be edited in place (V2 file, no new file) once this design is confirmed.</w:t>
      </w:r>
    </w:p>
    <w:p>
      <w:r>
        <w:br w:type="page"/>
      </w:r>
    </w:p>
    <w:p>
      <w:pPr>
        <w:pStyle w:val="Heading1"/>
        <w:spacing w:after="170" w:before="420"/>
      </w:pPr>
      <w:r>
        <w:t xml:space="preserve">0. Executive Summary</w:t>
      </w:r>
    </w:p>
    <w:p>
      <w:pPr>
        <w:spacing w:after="220" w:line="300"/>
      </w:pPr>
      <w:r>
        <w:rPr>
          <w:i/>
          <w:iCs/>
          <w:color w:val="6B6470"/>
          <w:sz w:val="22"/>
          <w:szCs w:val="22"/>
        </w:rPr>
        <w:t xml:space="preserve">Verdict: the flat model is a genuine improvement, and it is closer to how the fastest-scaling engineering organizations actually work than either the original Parent→Child design or last session's Domain→Module→Child-Module compromise. This is not a case of “the client asked for a rewrite, so agree and rewrite” — the reasoning holds up independently. But “no hierarchy” and “no structure at all” are not the same thing, and the proposal as written elides that difference in two specific places that will cause real problems at scale.</w:t>
      </w:r>
    </w:p>
    <w:p>
      <w:pPr>
        <w:spacing w:after="150" w:line="288"/>
      </w:pPr>
      <w:r>
        <w:rPr>
          <w:b w:val="false"/>
          <w:bCs w:val="false"/>
          <w:i w:val="false"/>
          <w:iCs w:val="false"/>
          <w:color w:val="1A1A1A"/>
          <w:sz w:val="21"/>
          <w:szCs w:val="21"/>
        </w:rPr>
        <w:t xml:space="preserve">Two things the flat model does not yet account for: (1) database tables still need exactly one owning module, and a generic “depends on” edge does not say that — dependencies must be typed. (2) Some modules will inevitably be depended on by dozens of others (Patient Management, Billing) — pretending every module is equally peer, even after removing the hierarchy, would be dishonest about the actual blast radius of changing them. Both are fixed below with mechanisms that stay fully flat — typed dependency edges and an auto-computed “Foundational” flag — neither reintroduces a parent.</w:t>
      </w:r>
    </w:p>
    <w:tbl>
      <w:tblPr>
        <w:tblW w:type="dxa" w:w="9350"/>
        <w:tblBorders>
          <w:top w:val="single" w:color="702070" w:sz="4"/>
          <w:left w:val="single" w:color="702070" w:sz="28"/>
          <w:bottom w:val="single" w:color="702070" w:sz="4"/>
          <w:right w:val="single" w:color="702070" w:sz="4"/>
          <w:insideH w:val="none" w:color="FFFFFF" w:sz="0"/>
          <w:insideV w:val="none" w:color="FFFFFF" w:sz="0"/>
        </w:tblBorders>
      </w:tblPr>
      <w:tblGrid>
        <w:gridCol w:w="9350"/>
      </w:tblGrid>
      <w:tr>
        <w:tc>
          <w:tcPr>
            <w:tcW w:type="dxa" w:w="9350"/>
            <w:shd w:fill="FAF7F2" w:val="clear"/>
            <w:tcMar>
              <w:top w:type="dxa" w:w="170"/>
              <w:left w:type="dxa" w:w="230"/>
              <w:bottom w:type="dxa" w:w="170"/>
              <w:right w:type="dxa" w:w="230"/>
            </w:tcMar>
          </w:tcPr>
          <w:p>
            <w:pPr>
              <w:spacing w:after="70"/>
            </w:pPr>
            <w:r>
              <w:rPr>
                <w:b/>
                <w:bCs/>
                <w:color w:val="702070"/>
                <w:spacing w:val="14"/>
                <w:sz w:val="19"/>
                <w:szCs w:val="19"/>
              </w:rPr>
              <w:t xml:space="preserve">BOTTOM LINE</w:t>
            </w:r>
          </w:p>
          <w:p>
            <w:pPr>
              <w:spacing w:after="0" w:line="280"/>
            </w:pPr>
            <w:r>
              <w:rPr>
                <w:color w:val="1A1A1A"/>
                <w:sz w:val="20"/>
                <w:szCs w:val="20"/>
              </w:rPr>
              <w:t xml:space="preserve">Adopt flat Modules exactly as proposed: no Parent, no Child, Domain becomes a non-authoritative tag. Add three things the proposal doesn't yet specify: typed dependency edges (depends-on / reads-from / extends-schema-of), an explicit Data Ownership field per module (one owner per table, independent of the dependency list), and an auto-computed Foundational flag (fan-in ≥ 3) that gates dependents the same way the old Shared-Foundation-freeze-first rule did — computed from the graph, not declared by parentage. Section 6 is the buildable spec. The V2 HTML will be edited in place, not replaced.</w:t>
            </w:r>
          </w:p>
        </w:tc>
      </w:tr>
    </w:tbl>
    <w:p>
      <w:pPr>
        <w:pStyle w:val="Heading1"/>
        <w:spacing w:after="170" w:before="420"/>
      </w:pPr>
      <w:r>
        <w:t xml:space="preserve">1. Direct Answers to the Seven Questions</w:t>
      </w:r>
    </w:p>
    <w:p>
      <w:pPr>
        <w:pStyle w:val="Heading2"/>
        <w:spacing w:after="130" w:before="300"/>
      </w:pPr>
      <w:r>
        <w:t xml:space="preserve">1.1 Is this better than Domain → Module → Child Module?</w:t>
      </w:r>
    </w:p>
    <w:p>
      <w:pPr>
        <w:spacing w:after="150" w:line="288"/>
      </w:pPr>
      <w:r>
        <w:rPr>
          <w:b w:val="false"/>
          <w:bCs w:val="false"/>
          <w:i w:val="false"/>
          <w:iCs w:val="false"/>
          <w:color w:val="1A1A1A"/>
          <w:sz w:val="21"/>
          <w:szCs w:val="21"/>
        </w:rPr>
        <w:t xml:space="preserve">Yes, for engineering-ownership purposes — but not simply “better,” because it removes something that was doing real (if imperfect) work: free navigation and rollup reporting. The previous design's worst flaw was treating the Parent as BOTH a navigation grouping AND an engineering unit with its own checklist — that conflation is genuinely gone in the flat model, which is the correct fix. What must not be lost in the process is the navigation and reporting value that hierarchy incidentally provided. Section 2 covers this in full; Section 6 fixes it without reintroducing a parent.</w:t>
      </w:r>
    </w:p>
    <w:p>
      <w:pPr>
        <w:pStyle w:val="Heading2"/>
        <w:spacing w:after="130" w:before="300"/>
      </w:pPr>
      <w:r>
        <w:t xml:space="preserve">1.2 What are the weaknesses?</w:t>
      </w:r>
    </w:p>
    <w:p>
      <w:pPr>
        <w:pStyle w:val="ListParagraph"/>
        <w:numPr>
          <w:ilvl w:val="0"/>
          <w:numId w:val="2"/>
        </w:numPr>
        <w:spacing w:after="110" w:line="276"/>
      </w:pPr>
      <w:r>
        <w:rPr>
          <w:b/>
          <w:bCs/>
          <w:color w:val="702070"/>
          <w:sz w:val="21"/>
          <w:szCs w:val="21"/>
        </w:rPr>
        <w:t xml:space="preserve">Unbrowsable at scale without a substitute for grouping — </w:t>
      </w:r>
      <w:r>
        <w:rPr>
          <w:color w:val="1A1A1A"/>
          <w:sz w:val="21"/>
          <w:szCs w:val="21"/>
        </w:rPr>
        <w:t xml:space="preserve">A flat list of 90 modules today, and the 500+ this document is explicitly asked to plan for, cannot be browsed as a flat list by a human. Domain tags must do real navigational work even though they carry zero engineering authority — the proposal implies keeping “Clinical Domain” as a label but doesn't specify how it functions once it's stripped of hierarchy.</w:t>
      </w:r>
    </w:p>
    <w:p>
      <w:pPr>
        <w:pStyle w:val="ListParagraph"/>
        <w:numPr>
          <w:ilvl w:val="0"/>
          <w:numId w:val="2"/>
        </w:numPr>
        <w:spacing w:after="110" w:line="276"/>
      </w:pPr>
      <w:r>
        <w:rPr>
          <w:b/>
          <w:bCs/>
          <w:color w:val="702070"/>
          <w:sz w:val="21"/>
          <w:szCs w:val="21"/>
        </w:rPr>
        <w:t xml:space="preserve">No single owner for shared database tables — </w:t>
      </w:r>
      <w:r>
        <w:rPr>
          <w:color w:val="1A1A1A"/>
          <w:sz w:val="21"/>
          <w:szCs w:val="21"/>
        </w:rPr>
        <w:t xml:space="preserve">If Patient Management, Patient Profile, Journey Timeline, Duplicate Merge, ABHA, and Import/Export are six independent peers, exactly one of them must remain the sole owner of the `patients` table schema — the existing project invariant (PatientService::register() as the only minting path) already assumes this. “Depends on” as a single generic relationship doesn't say which module may alter the schema versus which merely reads it. Left unresolved, this reproduces the exact schema-drift risk the last document warned about, just without a parent to blame.</w:t>
      </w:r>
    </w:p>
    <w:p>
      <w:pPr>
        <w:pStyle w:val="ListParagraph"/>
        <w:numPr>
          <w:ilvl w:val="0"/>
          <w:numId w:val="2"/>
        </w:numPr>
        <w:spacing w:after="110" w:line="276"/>
      </w:pPr>
      <w:r>
        <w:rPr>
          <w:b/>
          <w:bCs/>
          <w:color w:val="702070"/>
          <w:sz w:val="21"/>
          <w:szCs w:val="21"/>
        </w:rPr>
        <w:t xml:space="preserve">No natural sequencing gate — </w:t>
      </w:r>
      <w:r>
        <w:rPr>
          <w:color w:val="1A1A1A"/>
          <w:sz w:val="21"/>
          <w:szCs w:val="21"/>
        </w:rPr>
        <w:t xml:space="preserve">The old model forced a Shared Foundation to freeze before any child could start — an explicit, structural checkpoint. A pure flat graph has no equivalent unless one is added: nothing stops five newly-assigned modules that all depend on the same not-yet-stable module from starting in parallel and building on a moving target.</w:t>
      </w:r>
    </w:p>
    <w:p>
      <w:pPr>
        <w:pStyle w:val="ListParagraph"/>
        <w:numPr>
          <w:ilvl w:val="0"/>
          <w:numId w:val="2"/>
        </w:numPr>
        <w:spacing w:after="110" w:line="276"/>
      </w:pPr>
      <w:r>
        <w:rPr>
          <w:b/>
          <w:bCs/>
          <w:color w:val="702070"/>
          <w:sz w:val="21"/>
          <w:szCs w:val="21"/>
        </w:rPr>
        <w:t xml:space="preserve">Naming becomes a hard governance requirement, not a nicety — </w:t>
      </w:r>
      <w:r>
        <w:rPr>
          <w:color w:val="1A1A1A"/>
          <w:sz w:val="21"/>
          <w:szCs w:val="21"/>
        </w:rPr>
        <w:t xml:space="preserve">“Templates,” “Settings,” “Analytics” all currently exist as sub-items disambiguated by their parent. Flattened, every module name must be globally unique and self-describing (“Prescription Templates,” not “Templates”) — a naming convention has to be adopted and enforced, or the register degrades into ambiguity exactly where it most needs precision.</w:t>
      </w:r>
    </w:p>
    <w:p>
      <w:pPr>
        <w:pStyle w:val="ListParagraph"/>
        <w:numPr>
          <w:ilvl w:val="0"/>
          <w:numId w:val="2"/>
        </w:numPr>
        <w:spacing w:after="110" w:line="276"/>
      </w:pPr>
      <w:r>
        <w:rPr>
          <w:b/>
          <w:bCs/>
          <w:color w:val="702070"/>
          <w:sz w:val="21"/>
          <w:szCs w:val="21"/>
        </w:rPr>
        <w:t xml:space="preserve">Governance-artifact load scales linearly with module count — </w:t>
      </w:r>
      <w:r>
        <w:rPr>
          <w:color w:val="1A1A1A"/>
          <w:sz w:val="21"/>
          <w:szCs w:val="21"/>
        </w:rPr>
        <w:t xml:space="preserve">500 modules, each with its own audit, architecture doc, scope doc, and full checklist, is a lot of paperwork for the team Dentfluence has today — the same risk flagged last session, still real here, still fixed the same way (Size Tier → proportional rigor), and still worth restating because the flat model tempts one into thinking “no hierarchy” also means “no governance weight,” which it does not.</w:t>
      </w:r>
    </w:p>
    <w:p>
      <w:r>
        <w:br w:type="page"/>
      </w:r>
    </w:p>
    <w:p>
      <w:pPr>
        <w:pStyle w:val="Heading2"/>
        <w:spacing w:after="130" w:before="300"/>
      </w:pPr>
      <w:r>
        <w:t xml:space="preserve">1.3 How do Microsoft, Atlassian, GitHub, Shopify, Linear — and others — actually organize engineering?</w:t>
      </w:r>
    </w:p>
    <w:p>
      <w:pPr>
        <w:spacing w:after="150" w:line="288"/>
      </w:pPr>
      <w:r>
        <w:rPr>
          <w:b w:val="false"/>
          <w:bCs w:val="false"/>
          <w:i w:val="false"/>
          <w:iCs w:val="false"/>
          <w:color w:val="1A1A1A"/>
          <w:sz w:val="21"/>
          <w:szCs w:val="21"/>
        </w:rPr>
        <w:t xml:space="preserve">A wider and more honest sample than last session's four companies, because this question deserves a real answer rather than a flattering one:</w:t>
      </w:r>
    </w:p>
    <w:tbl>
      <w:tblPr>
        <w:tblW w:type="dxa" w:w="9350"/>
        <w:tblBorders>
          <w:top w:val="single" w:color="E8E3E8" w:sz="4"/>
          <w:left w:val="single" w:color="E8E3E8" w:sz="4"/>
          <w:bottom w:val="single" w:color="E8E3E8" w:sz="4"/>
          <w:right w:val="single" w:color="E8E3E8" w:sz="4"/>
          <w:insideH w:val="single" w:color="E8E3E8" w:sz="4"/>
          <w:insideV w:val="single" w:color="E8E3E8" w:sz="4"/>
        </w:tblBorders>
      </w:tblPr>
      <w:tblGrid>
        <w:gridCol w:w="2500"/>
        <w:gridCol w:w="6850"/>
      </w:tblGrid>
      <w:tr>
        <w:trPr>
          <w:tblHeader/>
        </w:trPr>
        <w:tc>
          <w:tcPr>
            <w:tcW w:type="dxa" w:w="2500"/>
            <w:shd w:fill="702070" w:val="clear"/>
            <w:tcMar>
              <w:top w:type="dxa" w:w="100"/>
              <w:left w:type="dxa" w:w="120"/>
              <w:bottom w:type="dxa" w:w="100"/>
              <w:right w:type="dxa" w:w="120"/>
            </w:tcMar>
            <w:vAlign w:val="center"/>
          </w:tcPr>
          <w:p>
            <w:r>
              <w:rPr>
                <w:b/>
                <w:bCs/>
                <w:color w:val="FFFFFF"/>
                <w:sz w:val="19"/>
                <w:szCs w:val="19"/>
              </w:rPr>
              <w:t xml:space="preserve">Company</w:t>
            </w:r>
          </w:p>
        </w:tc>
        <w:tc>
          <w:tcPr>
            <w:tcW w:type="dxa" w:w="6850"/>
            <w:shd w:fill="702070" w:val="clear"/>
            <w:tcMar>
              <w:top w:type="dxa" w:w="100"/>
              <w:left w:type="dxa" w:w="120"/>
              <w:bottom w:type="dxa" w:w="100"/>
              <w:right w:type="dxa" w:w="120"/>
            </w:tcMar>
            <w:vAlign w:val="center"/>
          </w:tcPr>
          <w:p>
            <w:r>
              <w:rPr>
                <w:b/>
                <w:bCs/>
                <w:color w:val="FFFFFF"/>
                <w:sz w:val="19"/>
                <w:szCs w:val="19"/>
              </w:rPr>
              <w:t xml:space="preserve">Actual ownership model</w:t>
            </w:r>
          </w:p>
        </w:tc>
      </w:tr>
      <w:tr>
        <w:tc>
          <w:tcPr>
            <w:tcW w:type="dxa" w:w="2500"/>
            <w:tcMar>
              <w:top w:type="dxa" w:w="100"/>
              <w:left w:type="dxa" w:w="120"/>
              <w:bottom w:type="dxa" w:w="100"/>
              <w:right w:type="dxa" w:w="120"/>
            </w:tcMar>
            <w:vAlign w:val="center"/>
          </w:tcPr>
          <w:p>
            <w:r>
              <w:rPr>
                <w:b w:val="false"/>
                <w:bCs w:val="false"/>
                <w:color w:val="1A1A1A"/>
                <w:sz w:val="19"/>
                <w:szCs w:val="19"/>
              </w:rPr>
              <w:t xml:space="preserve">Google</w:t>
            </w:r>
          </w:p>
        </w:tc>
        <w:tc>
          <w:tcPr>
            <w:tcW w:type="dxa" w:w="6850"/>
            <w:tcMar>
              <w:top w:type="dxa" w:w="100"/>
              <w:left w:type="dxa" w:w="120"/>
              <w:bottom w:type="dxa" w:w="100"/>
              <w:right w:type="dxa" w:w="120"/>
            </w:tcMar>
            <w:vAlign w:val="center"/>
          </w:tcPr>
          <w:p>
            <w:r>
              <w:rPr>
                <w:b w:val="false"/>
                <w:bCs w:val="false"/>
                <w:color w:val="1A1A1A"/>
                <w:sz w:val="19"/>
                <w:szCs w:val="19"/>
              </w:rPr>
              <w:t xml:space="preserve">Monorepo with per-directory OWNERS files (ownership is attached to a path, not a hierarchy node) plus a Bazel build-dependency graph that is explicit and machine-readable. This is the closest real-world precedent to what's being proposed: flat ownership plus an explicit dependency graph, deliberately decoupled from folder nesting.</w:t>
            </w:r>
          </w:p>
        </w:tc>
      </w:tr>
      <w:tr>
        <w:tc>
          <w:tcPr>
            <w:tcW w:type="dxa" w:w="2500"/>
            <w:shd w:fill="FAF7FA" w:val="clear"/>
            <w:tcMar>
              <w:top w:type="dxa" w:w="100"/>
              <w:left w:type="dxa" w:w="120"/>
              <w:bottom w:type="dxa" w:w="100"/>
              <w:right w:type="dxa" w:w="120"/>
            </w:tcMar>
            <w:vAlign w:val="center"/>
          </w:tcPr>
          <w:p>
            <w:r>
              <w:rPr>
                <w:b w:val="false"/>
                <w:bCs w:val="false"/>
                <w:color w:val="1A1A1A"/>
                <w:sz w:val="19"/>
                <w:szCs w:val="19"/>
              </w:rPr>
              <w:t xml:space="preserve">Amazon</w:t>
            </w:r>
          </w:p>
        </w:tc>
        <w:tc>
          <w:tcPr>
            <w:tcW w:type="dxa" w:w="6850"/>
            <w:shd w:fill="FAF7FA" w:val="clear"/>
            <w:tcMar>
              <w:top w:type="dxa" w:w="100"/>
              <w:left w:type="dxa" w:w="120"/>
              <w:bottom w:type="dxa" w:w="100"/>
              <w:right w:type="dxa" w:w="120"/>
            </w:tcMar>
            <w:vAlign w:val="center"/>
          </w:tcPr>
          <w:p>
            <w:r>
              <w:rPr>
                <w:b w:val="false"/>
                <w:bCs w:val="false"/>
                <w:color w:val="1A1A1A"/>
                <w:sz w:val="19"/>
                <w:szCs w:val="19"/>
              </w:rPr>
              <w:t xml:space="preserve">“Two-pizza teams,” each owning one or a few independent services communicating over versioned APIs — service-oriented and inherently flat; a team never owns a “parent” of another team's service, only an explicit API contract with it.</w:t>
            </w:r>
          </w:p>
        </w:tc>
      </w:tr>
      <w:tr>
        <w:tc>
          <w:tcPr>
            <w:tcW w:type="dxa" w:w="2500"/>
            <w:tcMar>
              <w:top w:type="dxa" w:w="100"/>
              <w:left w:type="dxa" w:w="120"/>
              <w:bottom w:type="dxa" w:w="100"/>
              <w:right w:type="dxa" w:w="120"/>
            </w:tcMar>
            <w:vAlign w:val="center"/>
          </w:tcPr>
          <w:p>
            <w:r>
              <w:rPr>
                <w:b w:val="false"/>
                <w:bCs w:val="false"/>
                <w:color w:val="1A1A1A"/>
                <w:sz w:val="19"/>
                <w:szCs w:val="19"/>
              </w:rPr>
              <w:t xml:space="preserve">Shopify</w:t>
            </w:r>
          </w:p>
        </w:tc>
        <w:tc>
          <w:tcPr>
            <w:tcW w:type="dxa" w:w="6850"/>
            <w:tcMar>
              <w:top w:type="dxa" w:w="100"/>
              <w:left w:type="dxa" w:w="120"/>
              <w:bottom w:type="dxa" w:w="100"/>
              <w:right w:type="dxa" w:w="120"/>
            </w:tcMar>
            <w:vAlign w:val="center"/>
          </w:tcPr>
          <w:p>
            <w:r>
              <w:rPr>
                <w:b w:val="false"/>
                <w:bCs w:val="false"/>
                <w:color w:val="1A1A1A"/>
                <w:sz w:val="19"/>
                <w:szCs w:val="19"/>
              </w:rPr>
              <w:t xml:space="preserve">Modular monolith enforced by tooling (Packwerk): each component has one owning team and an explicit allow-list of what it may depend on, checked in CI — the components sit in folders for convenience but ownership and dependency rules are flat and declared, not inferred from nesting.</w:t>
            </w:r>
          </w:p>
        </w:tc>
      </w:tr>
      <w:tr>
        <w:tc>
          <w:tcPr>
            <w:tcW w:type="dxa" w:w="2500"/>
            <w:shd w:fill="FAF7FA" w:val="clear"/>
            <w:tcMar>
              <w:top w:type="dxa" w:w="100"/>
              <w:left w:type="dxa" w:w="120"/>
              <w:bottom w:type="dxa" w:w="100"/>
              <w:right w:type="dxa" w:w="120"/>
            </w:tcMar>
            <w:vAlign w:val="center"/>
          </w:tcPr>
          <w:p>
            <w:r>
              <w:rPr>
                <w:b w:val="false"/>
                <w:bCs w:val="false"/>
                <w:color w:val="1A1A1A"/>
                <w:sz w:val="19"/>
                <w:szCs w:val="19"/>
              </w:rPr>
              <w:t xml:space="preserve">Linear</w:t>
            </w:r>
          </w:p>
        </w:tc>
        <w:tc>
          <w:tcPr>
            <w:tcW w:type="dxa" w:w="6850"/>
            <w:shd w:fill="FAF7FA" w:val="clear"/>
            <w:tcMar>
              <w:top w:type="dxa" w:w="100"/>
              <w:left w:type="dxa" w:w="120"/>
              <w:bottom w:type="dxa" w:w="100"/>
              <w:right w:type="dxa" w:w="120"/>
            </w:tcMar>
            <w:vAlign w:val="center"/>
          </w:tcPr>
          <w:p>
            <w:r>
              <w:rPr>
                <w:b w:val="false"/>
                <w:bCs w:val="false"/>
                <w:color w:val="1A1A1A"/>
                <w:sz w:val="19"/>
                <w:szCs w:val="19"/>
              </w:rPr>
              <w:t xml:space="preserve">Deliberately shallow issue and ownership model — teams own “areas,” not deep trees; the product's own UI philosophy (which the Experience Center deck already drew on) reflects the same instinct being applied here to engineering governance.</w:t>
            </w:r>
          </w:p>
        </w:tc>
      </w:tr>
      <w:tr>
        <w:tc>
          <w:tcPr>
            <w:tcW w:type="dxa" w:w="2500"/>
            <w:tcMar>
              <w:top w:type="dxa" w:w="100"/>
              <w:left w:type="dxa" w:w="120"/>
              <w:bottom w:type="dxa" w:w="100"/>
              <w:right w:type="dxa" w:w="120"/>
            </w:tcMar>
            <w:vAlign w:val="center"/>
          </w:tcPr>
          <w:p>
            <w:r>
              <w:rPr>
                <w:b w:val="false"/>
                <w:bCs w:val="false"/>
                <w:color w:val="1A1A1A"/>
                <w:sz w:val="19"/>
                <w:szCs w:val="19"/>
              </w:rPr>
              <w:t xml:space="preserve">GitHub</w:t>
            </w:r>
          </w:p>
        </w:tc>
        <w:tc>
          <w:tcPr>
            <w:tcW w:type="dxa" w:w="6850"/>
            <w:tcMar>
              <w:top w:type="dxa" w:w="100"/>
              <w:left w:type="dxa" w:w="120"/>
              <w:bottom w:type="dxa" w:w="100"/>
              <w:right w:type="dxa" w:w="120"/>
            </w:tcMar>
            <w:vAlign w:val="center"/>
          </w:tcPr>
          <w:p>
            <w:r>
              <w:rPr>
                <w:b w:val="false"/>
                <w:bCs w:val="false"/>
                <w:color w:val="1A1A1A"/>
                <w:sz w:val="19"/>
                <w:szCs w:val="19"/>
              </w:rPr>
              <w:t xml:space="preserve">Flat top-level products (Actions, Packages, Codespaces, Copilot), each independently owned and roadmapped, sitting on a small number of explicit shared platform services (auth, billing) that many products depend on — not a hierarchy, but not zero structure either.</w:t>
            </w:r>
          </w:p>
        </w:tc>
      </w:tr>
      <w:tr>
        <w:tc>
          <w:tcPr>
            <w:tcW w:type="dxa" w:w="2500"/>
            <w:shd w:fill="FAF7FA" w:val="clear"/>
            <w:tcMar>
              <w:top w:type="dxa" w:w="100"/>
              <w:left w:type="dxa" w:w="120"/>
              <w:bottom w:type="dxa" w:w="100"/>
              <w:right w:type="dxa" w:w="120"/>
            </w:tcMar>
            <w:vAlign w:val="center"/>
          </w:tcPr>
          <w:p>
            <w:r>
              <w:rPr>
                <w:b w:val="false"/>
                <w:bCs w:val="false"/>
                <w:color w:val="1A1A1A"/>
                <w:sz w:val="19"/>
                <w:szCs w:val="19"/>
              </w:rPr>
              <w:t xml:space="preserve">Atlassian</w:t>
            </w:r>
          </w:p>
        </w:tc>
        <w:tc>
          <w:tcPr>
            <w:tcW w:type="dxa" w:w="6850"/>
            <w:shd w:fill="FAF7FA" w:val="clear"/>
            <w:tcMar>
              <w:top w:type="dxa" w:w="100"/>
              <w:left w:type="dxa" w:w="120"/>
              <w:bottom w:type="dxa" w:w="100"/>
              <w:right w:type="dxa" w:w="120"/>
            </w:tcMar>
            <w:vAlign w:val="center"/>
          </w:tcPr>
          <w:p>
            <w:r>
              <w:rPr>
                <w:b w:val="false"/>
                <w:bCs w:val="false"/>
                <w:color w:val="1A1A1A"/>
                <w:sz w:val="19"/>
                <w:szCs w:val="19"/>
              </w:rPr>
              <w:t xml:space="preserve">Jira, Confluence, Bitbucket are flat, independently owned products atop a shared Atlassian Platform (identity, billing) — same hub-and-spoke-via-dependency pattern as GitHub, without parent/child folders.</w:t>
            </w:r>
          </w:p>
        </w:tc>
      </w:tr>
      <w:tr>
        <w:tc>
          <w:tcPr>
            <w:tcW w:type="dxa" w:w="2500"/>
            <w:tcMar>
              <w:top w:type="dxa" w:w="100"/>
              <w:left w:type="dxa" w:w="120"/>
              <w:bottom w:type="dxa" w:w="100"/>
              <w:right w:type="dxa" w:w="120"/>
            </w:tcMar>
            <w:vAlign w:val="center"/>
          </w:tcPr>
          <w:p>
            <w:r>
              <w:rPr>
                <w:b w:val="false"/>
                <w:bCs w:val="false"/>
                <w:color w:val="1A1A1A"/>
                <w:sz w:val="19"/>
                <w:szCs w:val="19"/>
              </w:rPr>
              <w:t xml:space="preserve">Microsoft (classical)</w:t>
            </w:r>
          </w:p>
        </w:tc>
        <w:tc>
          <w:tcPr>
            <w:tcW w:type="dxa" w:w="6850"/>
            <w:tcMar>
              <w:top w:type="dxa" w:w="100"/>
              <w:left w:type="dxa" w:w="120"/>
              <w:bottom w:type="dxa" w:w="100"/>
              <w:right w:type="dxa" w:w="120"/>
            </w:tcMar>
            <w:vAlign w:val="center"/>
          </w:tcPr>
          <w:p>
            <w:r>
              <w:rPr>
                <w:b w:val="false"/>
                <w:bCs w:val="false"/>
                <w:color w:val="1A1A1A"/>
                <w:sz w:val="19"/>
                <w:szCs w:val="19"/>
              </w:rPr>
              <w:t xml:space="preserve">The genuine outlier and the closest real match to the model already being rejected — deep, org-chart-driven division → subdivision structure. Historically this is where Windows/Office-era Microsoft actually sat; newer Microsoft (Azure services) has moved toward the flat, service-oriented pattern above.</w:t>
            </w:r>
          </w:p>
        </w:tc>
      </w:tr>
    </w:tbl>
    <w:p>
      <w:pPr>
        <w:spacing w:after="160"/>
      </w:pPr>
    </w:p>
    <w:p>
      <w:pPr>
        <w:spacing w:after="150" w:line="288"/>
      </w:pPr>
      <w:r>
        <w:rPr>
          <w:b w:val="false"/>
          <w:bCs w:val="false"/>
          <w:i w:val="false"/>
          <w:iCs w:val="false"/>
          <w:color w:val="1A1A1A"/>
          <w:sz w:val="21"/>
          <w:szCs w:val="21"/>
        </w:rPr>
        <w:t xml:space="preserve">The honest pattern across every fast-scaling example — Google, Amazon, Shopify, Linear, GitHub, Atlassian — is the same: flat ownership units, an explicit dependency graph, and a small number of shared foundational services that many others depend on without being their parent. None of them are fully flat with zero grouping; all of them keep a lightweight, non-authoritative label for navigation (a path prefix, a product family, a domain tag). That is precisely the shape this document recommends in Section 6 — this is a case where the proposal is genuinely well-aligned with how the industry actually works, not merely plausible-sounding.</w:t>
      </w:r>
    </w:p>
    <w:p>
      <w:pPr>
        <w:pStyle w:val="Heading2"/>
        <w:spacing w:after="130" w:before="300"/>
      </w:pPr>
      <w:r>
        <w:t xml:space="preserve">1.4 Is “Module” the right term, or is there better industry vocabulary?</w:t>
      </w:r>
    </w:p>
    <w:tbl>
      <w:tblPr>
        <w:tblW w:type="dxa" w:w="9350"/>
        <w:tblBorders>
          <w:top w:val="single" w:color="E8E3E8" w:sz="4"/>
          <w:left w:val="single" w:color="E8E3E8" w:sz="4"/>
          <w:bottom w:val="single" w:color="E8E3E8" w:sz="4"/>
          <w:right w:val="single" w:color="E8E3E8" w:sz="4"/>
          <w:insideH w:val="single" w:color="E8E3E8" w:sz="4"/>
          <w:insideV w:val="single" w:color="E8E3E8" w:sz="4"/>
        </w:tblBorders>
      </w:tblPr>
      <w:tblGrid>
        <w:gridCol w:w="2100"/>
        <w:gridCol w:w="3200"/>
        <w:gridCol w:w="4050"/>
      </w:tblGrid>
      <w:tr>
        <w:trPr>
          <w:tblHeader/>
        </w:trPr>
        <w:tc>
          <w:tcPr>
            <w:tcW w:type="dxa" w:w="2100"/>
            <w:shd w:fill="702070" w:val="clear"/>
            <w:tcMar>
              <w:top w:type="dxa" w:w="100"/>
              <w:left w:type="dxa" w:w="120"/>
              <w:bottom w:type="dxa" w:w="100"/>
              <w:right w:type="dxa" w:w="120"/>
            </w:tcMar>
            <w:vAlign w:val="center"/>
          </w:tcPr>
          <w:p>
            <w:r>
              <w:rPr>
                <w:b/>
                <w:bCs/>
                <w:color w:val="FFFFFF"/>
                <w:sz w:val="19"/>
                <w:szCs w:val="19"/>
              </w:rPr>
              <w:t xml:space="preserve">Term</w:t>
            </w:r>
          </w:p>
        </w:tc>
        <w:tc>
          <w:tcPr>
            <w:tcW w:type="dxa" w:w="3200"/>
            <w:shd w:fill="702070" w:val="clear"/>
            <w:tcMar>
              <w:top w:type="dxa" w:w="100"/>
              <w:left w:type="dxa" w:w="120"/>
              <w:bottom w:type="dxa" w:w="100"/>
              <w:right w:type="dxa" w:w="120"/>
            </w:tcMar>
            <w:vAlign w:val="center"/>
          </w:tcPr>
          <w:p>
            <w:r>
              <w:rPr>
                <w:b/>
                <w:bCs/>
                <w:color w:val="FFFFFF"/>
                <w:sz w:val="19"/>
                <w:szCs w:val="19"/>
              </w:rPr>
              <w:t xml:space="preserve">Where it's used</w:t>
            </w:r>
          </w:p>
        </w:tc>
        <w:tc>
          <w:tcPr>
            <w:tcW w:type="dxa" w:w="4050"/>
            <w:shd w:fill="702070" w:val="clear"/>
            <w:tcMar>
              <w:top w:type="dxa" w:w="100"/>
              <w:left w:type="dxa" w:w="120"/>
              <w:bottom w:type="dxa" w:w="100"/>
              <w:right w:type="dxa" w:w="120"/>
            </w:tcMar>
            <w:vAlign w:val="center"/>
          </w:tcPr>
          <w:p>
            <w:r>
              <w:rPr>
                <w:b/>
                <w:bCs/>
                <w:color w:val="FFFFFF"/>
                <w:sz w:val="19"/>
                <w:szCs w:val="19"/>
              </w:rPr>
              <w:t xml:space="preserve">Verdict for Dentfluence</w:t>
            </w:r>
          </w:p>
        </w:tc>
      </w:tr>
      <w:tr>
        <w:tc>
          <w:tcPr>
            <w:tcW w:type="dxa" w:w="2100"/>
            <w:tcMar>
              <w:top w:type="dxa" w:w="100"/>
              <w:left w:type="dxa" w:w="120"/>
              <w:bottom w:type="dxa" w:w="100"/>
              <w:right w:type="dxa" w:w="120"/>
            </w:tcMar>
            <w:vAlign w:val="center"/>
          </w:tcPr>
          <w:p>
            <w:r>
              <w:rPr>
                <w:b w:val="false"/>
                <w:bCs w:val="false"/>
                <w:color w:val="1A1A1A"/>
                <w:sz w:val="19"/>
                <w:szCs w:val="19"/>
              </w:rPr>
              <w:t xml:space="preserve">Service</w:t>
            </w:r>
          </w:p>
        </w:tc>
        <w:tc>
          <w:tcPr>
            <w:tcW w:type="dxa" w:w="3200"/>
            <w:tcMar>
              <w:top w:type="dxa" w:w="100"/>
              <w:left w:type="dxa" w:w="120"/>
              <w:bottom w:type="dxa" w:w="100"/>
              <w:right w:type="dxa" w:w="120"/>
            </w:tcMar>
            <w:vAlign w:val="center"/>
          </w:tcPr>
          <w:p>
            <w:r>
              <w:rPr>
                <w:b w:val="false"/>
                <w:bCs w:val="false"/>
                <w:color w:val="1A1A1A"/>
                <w:sz w:val="19"/>
                <w:szCs w:val="19"/>
              </w:rPr>
              <w:t xml:space="preserve">Microservices / SOA (Amazon-style)</w:t>
            </w:r>
          </w:p>
        </w:tc>
        <w:tc>
          <w:tcPr>
            <w:tcW w:type="dxa" w:w="4050"/>
            <w:tcMar>
              <w:top w:type="dxa" w:w="100"/>
              <w:left w:type="dxa" w:w="120"/>
              <w:bottom w:type="dxa" w:w="100"/>
              <w:right w:type="dxa" w:w="120"/>
            </w:tcMar>
            <w:vAlign w:val="center"/>
          </w:tcPr>
          <w:p>
            <w:r>
              <w:rPr>
                <w:b w:val="false"/>
                <w:bCs w:val="false"/>
                <w:color w:val="1A1A1A"/>
                <w:sz w:val="19"/>
                <w:szCs w:val="19"/>
              </w:rPr>
              <w:t xml:space="preserve">Reject. Implies independent deployability and a network boundary. Dentfluence is a single Laravel monolith — calling these “Services” would misrepresent the actual architecture to future engineers.</w:t>
            </w:r>
          </w:p>
        </w:tc>
      </w:tr>
      <w:tr>
        <w:tc>
          <w:tcPr>
            <w:tcW w:type="dxa" w:w="2100"/>
            <w:shd w:fill="FAF7FA" w:val="clear"/>
            <w:tcMar>
              <w:top w:type="dxa" w:w="100"/>
              <w:left w:type="dxa" w:w="120"/>
              <w:bottom w:type="dxa" w:w="100"/>
              <w:right w:type="dxa" w:w="120"/>
            </w:tcMar>
            <w:vAlign w:val="center"/>
          </w:tcPr>
          <w:p>
            <w:r>
              <w:rPr>
                <w:b w:val="false"/>
                <w:bCs w:val="false"/>
                <w:color w:val="1A1A1A"/>
                <w:sz w:val="19"/>
                <w:szCs w:val="19"/>
              </w:rPr>
              <w:t xml:space="preserve">Component</w:t>
            </w:r>
          </w:p>
        </w:tc>
        <w:tc>
          <w:tcPr>
            <w:tcW w:type="dxa" w:w="3200"/>
            <w:shd w:fill="FAF7FA" w:val="clear"/>
            <w:tcMar>
              <w:top w:type="dxa" w:w="100"/>
              <w:left w:type="dxa" w:w="120"/>
              <w:bottom w:type="dxa" w:w="100"/>
              <w:right w:type="dxa" w:w="120"/>
            </w:tcMar>
            <w:vAlign w:val="center"/>
          </w:tcPr>
          <w:p>
            <w:r>
              <w:rPr>
                <w:b w:val="false"/>
                <w:bCs w:val="false"/>
                <w:color w:val="1A1A1A"/>
                <w:sz w:val="19"/>
                <w:szCs w:val="19"/>
              </w:rPr>
              <w:t xml:space="preserve">Shopify's Packwerk / modular-monolith literature</w:t>
            </w:r>
          </w:p>
        </w:tc>
        <w:tc>
          <w:tcPr>
            <w:tcW w:type="dxa" w:w="4050"/>
            <w:shd w:fill="FAF7FA" w:val="clear"/>
            <w:tcMar>
              <w:top w:type="dxa" w:w="100"/>
              <w:left w:type="dxa" w:w="120"/>
              <w:bottom w:type="dxa" w:w="100"/>
              <w:right w:type="dxa" w:w="120"/>
            </w:tcMar>
            <w:vAlign w:val="center"/>
          </w:tcPr>
          <w:p>
            <w:r>
              <w:rPr>
                <w:b w:val="false"/>
                <w:bCs w:val="false"/>
                <w:color w:val="1A1A1A"/>
                <w:sz w:val="19"/>
                <w:szCs w:val="19"/>
              </w:rPr>
              <w:t xml:space="preserve">Strong alternative. Accurately describes a modular-monolith boundary without overclaiming independent deployment. The most industry-precise option if a rename is wanted.</w:t>
            </w:r>
          </w:p>
        </w:tc>
      </w:tr>
      <w:tr>
        <w:tc>
          <w:tcPr>
            <w:tcW w:type="dxa" w:w="2100"/>
            <w:tcMar>
              <w:top w:type="dxa" w:w="100"/>
              <w:left w:type="dxa" w:w="120"/>
              <w:bottom w:type="dxa" w:w="100"/>
              <w:right w:type="dxa" w:w="120"/>
            </w:tcMar>
            <w:vAlign w:val="center"/>
          </w:tcPr>
          <w:p>
            <w:r>
              <w:rPr>
                <w:b w:val="false"/>
                <w:bCs w:val="false"/>
                <w:color w:val="1A1A1A"/>
                <w:sz w:val="19"/>
                <w:szCs w:val="19"/>
              </w:rPr>
              <w:t xml:space="preserve">Bounded Context</w:t>
            </w:r>
          </w:p>
        </w:tc>
        <w:tc>
          <w:tcPr>
            <w:tcW w:type="dxa" w:w="3200"/>
            <w:tcMar>
              <w:top w:type="dxa" w:w="100"/>
              <w:left w:type="dxa" w:w="120"/>
              <w:bottom w:type="dxa" w:w="100"/>
              <w:right w:type="dxa" w:w="120"/>
            </w:tcMar>
            <w:vAlign w:val="center"/>
          </w:tcPr>
          <w:p>
            <w:r>
              <w:rPr>
                <w:b w:val="false"/>
                <w:bCs w:val="false"/>
                <w:color w:val="1A1A1A"/>
                <w:sz w:val="19"/>
                <w:szCs w:val="19"/>
              </w:rPr>
              <w:t xml:space="preserve">Domain-Driven Design</w:t>
            </w:r>
          </w:p>
        </w:tc>
        <w:tc>
          <w:tcPr>
            <w:tcW w:type="dxa" w:w="4050"/>
            <w:tcMar>
              <w:top w:type="dxa" w:w="100"/>
              <w:left w:type="dxa" w:w="120"/>
              <w:bottom w:type="dxa" w:w="100"/>
              <w:right w:type="dxa" w:w="120"/>
            </w:tcMar>
            <w:vAlign w:val="center"/>
          </w:tcPr>
          <w:p>
            <w:r>
              <w:rPr>
                <w:b w:val="false"/>
                <w:bCs w:val="false"/>
                <w:color w:val="1A1A1A"/>
                <w:sz w:val="19"/>
                <w:szCs w:val="19"/>
              </w:rPr>
              <w:t xml:space="preserve">Technically the most correct term for what this is, but more academic and less familiar to a working Laravel team than the alternatives — useful as an underlying concept, not as day-to-day vocabulary.</w:t>
            </w:r>
          </w:p>
        </w:tc>
      </w:tr>
      <w:tr>
        <w:tc>
          <w:tcPr>
            <w:tcW w:type="dxa" w:w="2100"/>
            <w:shd w:fill="FAF7FA" w:val="clear"/>
            <w:tcMar>
              <w:top w:type="dxa" w:w="100"/>
              <w:left w:type="dxa" w:w="120"/>
              <w:bottom w:type="dxa" w:w="100"/>
              <w:right w:type="dxa" w:w="120"/>
            </w:tcMar>
            <w:vAlign w:val="center"/>
          </w:tcPr>
          <w:p>
            <w:r>
              <w:rPr>
                <w:b w:val="false"/>
                <w:bCs w:val="false"/>
                <w:color w:val="1A1A1A"/>
                <w:sz w:val="19"/>
                <w:szCs w:val="19"/>
              </w:rPr>
              <w:t xml:space="preserve">Module</w:t>
            </w:r>
          </w:p>
        </w:tc>
        <w:tc>
          <w:tcPr>
            <w:tcW w:type="dxa" w:w="3200"/>
            <w:shd w:fill="FAF7FA" w:val="clear"/>
            <w:tcMar>
              <w:top w:type="dxa" w:w="100"/>
              <w:left w:type="dxa" w:w="120"/>
              <w:bottom w:type="dxa" w:w="100"/>
              <w:right w:type="dxa" w:w="120"/>
            </w:tcMar>
            <w:vAlign w:val="center"/>
          </w:tcPr>
          <w:p>
            <w:r>
              <w:rPr>
                <w:b w:val="false"/>
                <w:bCs w:val="false"/>
                <w:color w:val="1A1A1A"/>
                <w:sz w:val="19"/>
                <w:szCs w:val="19"/>
              </w:rPr>
              <w:t xml:space="preserve">Already Dentfluence's own established term; also the literal vocabulary of the Laravel ecosystem's own modular-monolith tooling (nwidart/laravel-modules)</w:t>
            </w:r>
          </w:p>
        </w:tc>
        <w:tc>
          <w:tcPr>
            <w:tcW w:type="dxa" w:w="4050"/>
            <w:shd w:fill="FAF7FA" w:val="clear"/>
            <w:tcMar>
              <w:top w:type="dxa" w:w="100"/>
              <w:left w:type="dxa" w:w="120"/>
              <w:bottom w:type="dxa" w:w="100"/>
              <w:right w:type="dxa" w:w="120"/>
            </w:tcMar>
            <w:vAlign w:val="center"/>
          </w:tcPr>
          <w:p>
            <w:r>
              <w:rPr>
                <w:b w:val="false"/>
                <w:bCs w:val="false"/>
                <w:color w:val="1A1A1A"/>
                <w:sz w:val="19"/>
                <w:szCs w:val="19"/>
              </w:rPr>
              <w:t xml:space="preserve">Recommended: keep it. Every CEO Directive, audit, and prior register already uses “Module.” Renaming now costs a project-wide vocabulary migration for a marginal precision gain — and unlike “Service,” it isn't actually inaccurate for a Laravel monolith.</w:t>
            </w:r>
          </w:p>
        </w:tc>
      </w:tr>
    </w:tbl>
    <w:p>
      <w:pPr>
        <w:spacing w:after="150" w:line="288"/>
      </w:pPr>
      <w:r>
        <w:rPr>
          <w:b w:val="false"/>
          <w:bCs w:val="false"/>
          <w:i w:val="false"/>
          <w:iCs w:val="false"/>
          <w:color w:val="1A1A1A"/>
          <w:sz w:val="21"/>
          <w:szCs w:val="21"/>
        </w:rPr>
        <w:t xml:space="preserve">Recommendation: keep “Module.” It is already correct for this architecture (unlike “Service”) and already embedded across existing directives and memory. If a rename is ever wanted, “Component” is the one industry-standard alternative worth adopting — not “Service.”</w:t>
      </w:r>
    </w:p>
    <w:p>
      <w:r>
        <w:br w:type="page"/>
      </w:r>
    </w:p>
    <w:p>
      <w:pPr>
        <w:pStyle w:val="Heading2"/>
        <w:spacing w:after="130" w:before="300"/>
      </w:pPr>
      <w:r>
        <w:t xml:space="preserve">1.5 Would this scale to 500+ modules?</w:t>
      </w:r>
    </w:p>
    <w:p>
      <w:pPr>
        <w:spacing w:after="150" w:line="288"/>
      </w:pPr>
      <w:r>
        <w:rPr>
          <w:b w:val="false"/>
          <w:bCs w:val="false"/>
          <w:i w:val="false"/>
          <w:iCs w:val="false"/>
          <w:color w:val="1A1A1A"/>
          <w:sz w:val="21"/>
          <w:szCs w:val="21"/>
        </w:rPr>
        <w:t xml:space="preserve">Yes — but only if the tooling is built assuming 500 from day one, which is a materially different UI than a sidebar tree of 90 items. Specifically:</w:t>
      </w:r>
    </w:p>
    <w:p>
      <w:pPr>
        <w:pStyle w:val="ListParagraph"/>
        <w:numPr>
          <w:ilvl w:val="0"/>
          <w:numId w:val="2"/>
        </w:numPr>
        <w:spacing w:after="100" w:line="276"/>
      </w:pPr>
      <w:r>
        <w:rPr>
          <w:color w:val="1A1A1A"/>
          <w:sz w:val="21"/>
          <w:szCs w:val="21"/>
        </w:rPr>
        <w:t xml:space="preserve">Search-and-filter-first navigation, not tree-browsing-first — at 500 items nobody scrolls a sidebar, they search by name, filter by Domain tag, tier, status, or owner.</w:t>
      </w:r>
    </w:p>
    <w:p>
      <w:pPr>
        <w:pStyle w:val="ListParagraph"/>
        <w:numPr>
          <w:ilvl w:val="0"/>
          <w:numId w:val="2"/>
        </w:numPr>
        <w:spacing w:after="100" w:line="276"/>
      </w:pPr>
      <w:r>
        <w:rPr>
          <w:color w:val="1A1A1A"/>
          <w:sz w:val="21"/>
          <w:szCs w:val="21"/>
        </w:rPr>
        <w:t xml:space="preserve">A machine-readable dependency graph, because impact analysis (“if I change Patient Management, what breaks”) is not something a human can hold in their head past roughly a dozen modules, let alone 500.</w:t>
      </w:r>
    </w:p>
    <w:p>
      <w:pPr>
        <w:pStyle w:val="ListParagraph"/>
        <w:numPr>
          <w:ilvl w:val="0"/>
          <w:numId w:val="2"/>
        </w:numPr>
        <w:spacing w:after="100" w:line="276"/>
      </w:pPr>
      <w:r>
        <w:rPr>
          <w:color w:val="1A1A1A"/>
          <w:sz w:val="21"/>
          <w:szCs w:val="21"/>
        </w:rPr>
        <w:t xml:space="preserve">Size tiering to keep governance overhead proportional — unchanged recommendation from last session, more important here since the module count is explicitly higher.</w:t>
      </w:r>
    </w:p>
    <w:p>
      <w:pPr>
        <w:pStyle w:val="ListParagraph"/>
        <w:numPr>
          <w:ilvl w:val="0"/>
          <w:numId w:val="2"/>
        </w:numPr>
        <w:spacing w:after="100" w:line="276"/>
      </w:pPr>
      <w:r>
        <w:rPr>
          <w:color w:val="1A1A1A"/>
          <w:sz w:val="21"/>
          <w:szCs w:val="21"/>
        </w:rPr>
        <w:t xml:space="preserve">The auto-computed Foundational flag (Section 1.2 and Section 6) — at 500 modules, some will inevitably have high fan-in; the tooling must surface this automatically rather than leaving it to memory.</w:t>
      </w:r>
    </w:p>
    <w:p>
      <w:pPr>
        <w:spacing w:after="150" w:line="288"/>
      </w:pPr>
      <w:r>
        <w:rPr>
          <w:b w:val="false"/>
          <w:bCs w:val="false"/>
          <w:i w:val="false"/>
          <w:iCs w:val="false"/>
          <w:color w:val="1A1A1A"/>
          <w:sz w:val="21"/>
          <w:szCs w:val="21"/>
        </w:rPr>
        <w:t xml:space="preserve">One structural point worth naming directly: even the just-built V2 dashboard's sidebar (Domain → Module → Child rows) is still visually a two-level tree. Adopting flat Modules should also flatten the sidebar itself — Domain becomes a filter chip, not a nesting level — otherwise the UI keeps implying a hierarchy the data model no longer has, which is exactly the kind of inconsistency that erodes trust in a governance tool over time.</w:t>
      </w:r>
    </w:p>
    <w:p>
      <w:pPr>
        <w:pStyle w:val="Heading2"/>
        <w:spacing w:after="130" w:before="300"/>
      </w:pPr>
      <w:r>
        <w:t xml:space="preserve">1.6 Would this support future multi-agent AI, one agent per module?</w:t>
      </w:r>
    </w:p>
    <w:p>
      <w:pPr>
        <w:spacing w:after="150" w:line="288"/>
      </w:pPr>
      <w:r>
        <w:rPr>
          <w:b w:val="false"/>
          <w:bCs w:val="false"/>
          <w:i w:val="false"/>
          <w:iCs w:val="false"/>
          <w:color w:val="1A1A1A"/>
          <w:sz w:val="21"/>
          <w:szCs w:val="21"/>
        </w:rPr>
        <w:t xml:space="preserve">Yes — and this is a cleaner boundary than the Child-Module-under-a-frozen-parent model from last session, precisely because there is no ambiguity about whether an agent's authority extends upward into a parent's shared foundation. In the flat model: an agent owns exactly one module, has read-only visibility into the public contract of whatever it depends on, and the Data Ownership field (Section 6.1) tells it exactly which tables it may migrate versus only read. That is a strictly cleaner permission boundary than “wait for the parent's Shared Foundation to freeze.”</w:t>
      </w:r>
    </w:p>
    <w:tbl>
      <w:tblPr>
        <w:tblW w:type="dxa" w:w="9350"/>
        <w:tblBorders>
          <w:top w:val="single" w:color="B23A3A" w:sz="4"/>
          <w:left w:val="single" w:color="B23A3A" w:sz="28"/>
          <w:bottom w:val="single" w:color="B23A3A" w:sz="4"/>
          <w:right w:val="single" w:color="B23A3A" w:sz="4"/>
          <w:insideH w:val="none" w:color="FFFFFF" w:sz="0"/>
          <w:insideV w:val="none" w:color="FFFFFF" w:sz="0"/>
        </w:tblBorders>
      </w:tblPr>
      <w:tblGrid>
        <w:gridCol w:w="9350"/>
      </w:tblGrid>
      <w:tr>
        <w:tc>
          <w:tcPr>
            <w:tcW w:type="dxa" w:w="9350"/>
            <w:shd w:fill="FAF7F2" w:val="clear"/>
            <w:tcMar>
              <w:top w:type="dxa" w:w="170"/>
              <w:left w:type="dxa" w:w="230"/>
              <w:bottom w:type="dxa" w:w="170"/>
              <w:right w:type="dxa" w:w="230"/>
            </w:tcMar>
          </w:tcPr>
          <w:p>
            <w:pPr>
              <w:spacing w:after="70"/>
            </w:pPr>
            <w:r>
              <w:rPr>
                <w:b/>
                <w:bCs/>
                <w:color w:val="B23A3A"/>
                <w:spacing w:val="14"/>
                <w:sz w:val="19"/>
                <w:szCs w:val="19"/>
              </w:rPr>
              <w:t xml:space="preserve">THE GAP THIS CREATES</w:t>
            </w:r>
          </w:p>
          <w:p>
            <w:pPr>
              <w:spacing w:after="0" w:line="280"/>
            </w:pPr>
            <w:r>
              <w:rPr>
                <w:color w:val="1A1A1A"/>
                <w:sz w:val="20"/>
                <w:szCs w:val="20"/>
              </w:rPr>
              <w:t xml:space="preserve">Removing the parent also removes the one thing that gave the old model a natural build order — “Shared Foundation freezes before any child starts.” A pure flat graph has no equivalent unless one is added, and without it, multiple agents could be assigned to interdependent modules simultaneously with no sequencing at all, which is arguably worse than the hierarchy it replaced. The fix: the Foundational-flag gate in Section 6.2 is the direct, graph-computed substitute for that missing checkpoint — required, not optional, for safe multi-agent assignment.</w:t>
            </w:r>
          </w:p>
        </w:tc>
      </w:tr>
    </w:tbl>
    <w:p>
      <w:pPr>
        <w:pStyle w:val="Heading2"/>
        <w:spacing w:after="130" w:before="300"/>
      </w:pPr>
      <w:r>
        <w:t xml:space="preserve">1.7 Should dependencies replace hierarchy completely?</w:t>
      </w:r>
    </w:p>
    <w:p>
      <w:pPr>
        <w:spacing w:after="150" w:line="288"/>
      </w:pPr>
      <w:r>
        <w:rPr>
          <w:b w:val="false"/>
          <w:bCs w:val="false"/>
          <w:i w:val="false"/>
          <w:iCs w:val="false"/>
          <w:color w:val="1A1A1A"/>
          <w:sz w:val="21"/>
          <w:szCs w:val="21"/>
        </w:rPr>
        <w:t xml:space="preserve">For ownership, freeze, and versioning purposes — yes, completely, and that is the correct core insight of this proposal. For two other purposes, no:</w:t>
      </w:r>
    </w:p>
    <w:p>
      <w:pPr>
        <w:pStyle w:val="ListParagraph"/>
        <w:numPr>
          <w:ilvl w:val="0"/>
          <w:numId w:val="3"/>
        </w:numPr>
        <w:spacing w:after="80" w:line="270"/>
      </w:pPr>
      <w:r>
        <w:rPr>
          <w:color w:val="6B6470"/>
          <w:sz w:val="20"/>
          <w:szCs w:val="20"/>
        </w:rPr>
        <w:t xml:space="preserve">Human navigation and reporting still need a lightweight, non-authoritative grouping — Domain tags, per Section 1.3's industry survey.</w:t>
      </w:r>
    </w:p>
    <w:p>
      <w:pPr>
        <w:pStyle w:val="ListParagraph"/>
        <w:numPr>
          <w:ilvl w:val="0"/>
          <w:numId w:val="3"/>
        </w:numPr>
        <w:spacing w:after="80" w:line="270"/>
      </w:pPr>
      <w:r>
        <w:rPr>
          <w:color w:val="6B6470"/>
          <w:sz w:val="20"/>
          <w:szCs w:val="20"/>
        </w:rPr>
        <w:t xml:space="preserve">Data-ownership questions need more precision than a single generic “depends on” edge provides. The user's own examples already gesture at this without naming it — “Journey Timeline reads from Consultations, Billing, Appointments” is a different (weaker, safer) relationship than “Treatment Visits depends on Treatment Plans” or “ABHA depends on Patient Management,” which likely means schema-level coupling. Section 6.1 formalizes this distinction with typed edges instead of one generic dependency list.</w:t>
      </w:r>
    </w:p>
    <w:p>
      <w:r>
        <w:br w:type="page"/>
      </w:r>
    </w:p>
    <w:p>
      <w:pPr>
        <w:pStyle w:val="Heading1"/>
        <w:spacing w:after="170" w:before="420"/>
      </w:pPr>
      <w:r>
        <w:t xml:space="preserve">2. What Is Genuinely Gained by Going Flat</w:t>
      </w:r>
    </w:p>
    <w:p>
      <w:pPr>
        <w:pStyle w:val="ListParagraph"/>
        <w:numPr>
          <w:ilvl w:val="0"/>
          <w:numId w:val="2"/>
        </w:numPr>
        <w:spacing w:after="100" w:line="276"/>
      </w:pPr>
      <w:r>
        <w:rPr>
          <w:color w:val="1A1A1A"/>
          <w:sz w:val="21"/>
          <w:szCs w:val="21"/>
        </w:rPr>
        <w:t xml:space="preserve">Removes the container/unit conflation that was the single worst flaw of the previous design — no more debating whether a Parent deserves its own checklist.</w:t>
      </w:r>
    </w:p>
    <w:p>
      <w:pPr>
        <w:pStyle w:val="ListParagraph"/>
        <w:numPr>
          <w:ilvl w:val="0"/>
          <w:numId w:val="2"/>
        </w:numPr>
        <w:spacing w:after="100" w:line="276"/>
      </w:pPr>
      <w:r>
        <w:rPr>
          <w:color w:val="1A1A1A"/>
          <w:sz w:val="21"/>
          <w:szCs w:val="21"/>
        </w:rPr>
        <w:t xml:space="preserve">Every module is truly peer — Patient Management, Journey Timeline, and ABHA are exactly equally first-class, with no artificial subordination to justify or maintain.</w:t>
      </w:r>
    </w:p>
    <w:p>
      <w:pPr>
        <w:pStyle w:val="ListParagraph"/>
        <w:numPr>
          <w:ilvl w:val="0"/>
          <w:numId w:val="2"/>
        </w:numPr>
        <w:spacing w:after="100" w:line="276"/>
      </w:pPr>
      <w:r>
        <w:rPr>
          <w:color w:val="1A1A1A"/>
          <w:sz w:val="21"/>
          <w:szCs w:val="21"/>
        </w:rPr>
        <w:t xml:space="preserve">Matches how source control, package registries, and every company surveyed in Section 1.3 actually organizes large systems — a flat namespace of independently versioned units plus a dependency graph, not a tree.</w:t>
      </w:r>
    </w:p>
    <w:p>
      <w:pPr>
        <w:pStyle w:val="ListParagraph"/>
        <w:numPr>
          <w:ilvl w:val="0"/>
          <w:numId w:val="2"/>
        </w:numPr>
        <w:spacing w:after="100" w:line="276"/>
      </w:pPr>
      <w:r>
        <w:rPr>
          <w:color w:val="1A1A1A"/>
          <w:sz w:val="21"/>
          <w:szCs w:val="21"/>
        </w:rPr>
        <w:t xml:space="preserve">Directly resolves the cross-parent coupling problem named as Weakness 4 in the previous document (Treatment Visits / Treatment Plans) — there is no parent boundary left to be crossed.</w:t>
      </w:r>
    </w:p>
    <w:p>
      <w:pPr>
        <w:pStyle w:val="ListParagraph"/>
        <w:numPr>
          <w:ilvl w:val="0"/>
          <w:numId w:val="2"/>
        </w:numPr>
        <w:spacing w:after="100" w:line="276"/>
      </w:pPr>
      <w:r>
        <w:rPr>
          <w:color w:val="1A1A1A"/>
          <w:sz w:val="21"/>
          <w:szCs w:val="21"/>
        </w:rPr>
        <w:t xml:space="preserve">Independent versioning becomes meaningful for the first time — a Child Module never had its own version number distinct from its parent's; a flat Module naturally can.</w:t>
      </w:r>
    </w:p>
    <w:p>
      <w:pPr>
        <w:pStyle w:val="Heading1"/>
        <w:spacing w:after="170" w:before="420"/>
      </w:pPr>
      <w:r>
        <w:t xml:space="preserve">3. What Breaks if This Is Adopted Without the Fixes in Section 6</w:t>
      </w:r>
    </w:p>
    <w:p>
      <w:pPr>
        <w:spacing w:after="150" w:line="288"/>
      </w:pPr>
      <w:r>
        <w:rPr>
          <w:b w:val="false"/>
          <w:bCs w:val="false"/>
          <w:i w:val="false"/>
          <w:iCs w:val="false"/>
          <w:color w:val="1A1A1A"/>
          <w:sz w:val="21"/>
          <w:szCs w:val="21"/>
        </w:rPr>
        <w:t xml:space="preserve">Restated plainly, because this is the difference between a good architecture and a good architecture executed carelessly:</w:t>
      </w:r>
    </w:p>
    <w:p>
      <w:pPr>
        <w:pStyle w:val="ListParagraph"/>
        <w:numPr>
          <w:ilvl w:val="0"/>
          <w:numId w:val="4"/>
        </w:numPr>
        <w:spacing w:after="100" w:line="276"/>
      </w:pPr>
      <w:r>
        <w:rPr>
          <w:color w:val="1A1A1A"/>
          <w:sz w:val="21"/>
          <w:szCs w:val="21"/>
        </w:rPr>
        <w:t xml:space="preserve">A flat list of 90–500 modules with no search-first UI and no typed dependencies becomes an unreadable spreadsheet within weeks.</w:t>
      </w:r>
    </w:p>
    <w:p>
      <w:pPr>
        <w:pStyle w:val="ListParagraph"/>
        <w:numPr>
          <w:ilvl w:val="0"/>
          <w:numId w:val="4"/>
        </w:numPr>
        <w:spacing w:after="100" w:line="276"/>
      </w:pPr>
      <w:r>
        <w:rPr>
          <w:color w:val="1A1A1A"/>
          <w:sz w:val="21"/>
          <w:szCs w:val="21"/>
        </w:rPr>
        <w:t xml:space="preserve">Without an explicit Data Ownership field, two independently-owned modules will eventually both migrate the same table, and nobody will be structurally prevented from it — only socially discouraged.</w:t>
      </w:r>
    </w:p>
    <w:p>
      <w:pPr>
        <w:pStyle w:val="ListParagraph"/>
        <w:numPr>
          <w:ilvl w:val="0"/>
          <w:numId w:val="4"/>
        </w:numPr>
        <w:spacing w:after="100" w:line="276"/>
      </w:pPr>
      <w:r>
        <w:rPr>
          <w:color w:val="1A1A1A"/>
          <w:sz w:val="21"/>
          <w:szCs w:val="21"/>
        </w:rPr>
        <w:t xml:space="preserve">Without an auto-computed Foundational gate, multiple engineers or agents can be assigned to interdependent modules in the same week with no sequencing signal at all.</w:t>
      </w:r>
    </w:p>
    <w:p>
      <w:pPr>
        <w:pStyle w:val="ListParagraph"/>
        <w:numPr>
          <w:ilvl w:val="0"/>
          <w:numId w:val="4"/>
        </w:numPr>
        <w:spacing w:after="100" w:line="276"/>
      </w:pPr>
      <w:r>
        <w:rPr>
          <w:color w:val="1A1A1A"/>
          <w:sz w:val="21"/>
          <w:szCs w:val="21"/>
        </w:rPr>
        <w:t xml:space="preserve">Without an enforced naming convention, module names collide (“Templates” appearing under three different unrelated modules) and search-first navigation — which the flat model depends on — stops working.</w:t>
      </w:r>
    </w:p>
    <w:p>
      <w:r>
        <w:br w:type="page"/>
      </w:r>
    </w:p>
    <w:p>
      <w:pPr>
        <w:pStyle w:val="Heading1"/>
        <w:spacing w:after="170" w:before="420"/>
      </w:pPr>
      <w:r>
        <w:t xml:space="preserve">4. Redesigned Governance System</w:t>
      </w:r>
    </w:p>
    <w:p>
      <w:pPr>
        <w:spacing w:after="220" w:line="300"/>
      </w:pPr>
      <w:r>
        <w:rPr>
          <w:i/>
          <w:iCs/>
          <w:color w:val="6B6470"/>
          <w:sz w:val="22"/>
          <w:szCs w:val="22"/>
        </w:rPr>
        <w:t xml:space="preserve">Specification only, per instruction. The V2 dashboard file will be edited in place to match this — no new HTML file.</w:t>
      </w:r>
    </w:p>
    <w:p>
      <w:pPr>
        <w:pStyle w:val="Heading2"/>
        <w:spacing w:after="130" w:before="300"/>
      </w:pPr>
      <w:r>
        <w:t xml:space="preserve">4.1 The Module record — the only engineering unit</w:t>
      </w:r>
    </w:p>
    <w:p>
      <w:pPr>
        <w:spacing w:after="150" w:line="288"/>
      </w:pPr>
      <w:r>
        <w:rPr>
          <w:b w:val="false"/>
          <w:bCs w:val="false"/>
          <w:i w:val="false"/>
          <w:iCs w:val="false"/>
          <w:color w:val="1A1A1A"/>
          <w:sz w:val="21"/>
          <w:szCs w:val="21"/>
        </w:rPr>
        <w:t xml:space="preserve">Every field lives directly on the Module. There is no Parent, no Child, no separate Shared-Foundation object.</w:t>
      </w:r>
    </w:p>
    <w:tbl>
      <w:tblPr>
        <w:tblW w:type="dxa" w:w="9350"/>
        <w:tblBorders>
          <w:top w:val="single" w:color="E8E3E8" w:sz="4"/>
          <w:left w:val="single" w:color="E8E3E8" w:sz="4"/>
          <w:bottom w:val="single" w:color="E8E3E8" w:sz="4"/>
          <w:right w:val="single" w:color="E8E3E8" w:sz="4"/>
          <w:insideH w:val="single" w:color="E8E3E8" w:sz="4"/>
          <w:insideV w:val="single" w:color="E8E3E8" w:sz="4"/>
        </w:tblBorders>
      </w:tblPr>
      <w:tblGrid>
        <w:gridCol w:w="2400"/>
        <w:gridCol w:w="6950"/>
      </w:tblGrid>
      <w:tr>
        <w:trPr>
          <w:tblHeader/>
        </w:trPr>
        <w:tc>
          <w:tcPr>
            <w:tcW w:type="dxa" w:w="2400"/>
            <w:shd w:fill="702070" w:val="clear"/>
            <w:tcMar>
              <w:top w:type="dxa" w:w="100"/>
              <w:left w:type="dxa" w:w="120"/>
              <w:bottom w:type="dxa" w:w="100"/>
              <w:right w:type="dxa" w:w="120"/>
            </w:tcMar>
            <w:vAlign w:val="center"/>
          </w:tcPr>
          <w:p>
            <w:r>
              <w:rPr>
                <w:b/>
                <w:bCs/>
                <w:color w:val="FFFFFF"/>
                <w:sz w:val="19"/>
                <w:szCs w:val="19"/>
              </w:rPr>
              <w:t xml:space="preserve">Field</w:t>
            </w:r>
          </w:p>
        </w:tc>
        <w:tc>
          <w:tcPr>
            <w:tcW w:type="dxa" w:w="6950"/>
            <w:shd w:fill="702070" w:val="clear"/>
            <w:tcMar>
              <w:top w:type="dxa" w:w="100"/>
              <w:left w:type="dxa" w:w="120"/>
              <w:bottom w:type="dxa" w:w="100"/>
              <w:right w:type="dxa" w:w="120"/>
            </w:tcMar>
            <w:vAlign w:val="center"/>
          </w:tcPr>
          <w:p>
            <w:r>
              <w:rPr>
                <w:b/>
                <w:bCs/>
                <w:color w:val="FFFFFF"/>
                <w:sz w:val="19"/>
                <w:szCs w:val="19"/>
              </w:rPr>
              <w:t xml:space="preserve">Purpose</w:t>
            </w:r>
          </w:p>
        </w:tc>
      </w:tr>
      <w:tr>
        <w:tc>
          <w:tcPr>
            <w:tcW w:type="dxa" w:w="2400"/>
            <w:tcMar>
              <w:top w:type="dxa" w:w="100"/>
              <w:left w:type="dxa" w:w="120"/>
              <w:bottom w:type="dxa" w:w="100"/>
              <w:right w:type="dxa" w:w="120"/>
            </w:tcMar>
            <w:vAlign w:val="center"/>
          </w:tcPr>
          <w:p>
            <w:r>
              <w:rPr>
                <w:b w:val="false"/>
                <w:bCs w:val="false"/>
                <w:color w:val="1A1A1A"/>
                <w:sz w:val="19"/>
                <w:szCs w:val="19"/>
              </w:rPr>
              <w:t xml:space="preserve">Name</w:t>
            </w:r>
          </w:p>
        </w:tc>
        <w:tc>
          <w:tcPr>
            <w:tcW w:type="dxa" w:w="6950"/>
            <w:tcMar>
              <w:top w:type="dxa" w:w="100"/>
              <w:left w:type="dxa" w:w="120"/>
              <w:bottom w:type="dxa" w:w="100"/>
              <w:right w:type="dxa" w:w="120"/>
            </w:tcMar>
            <w:vAlign w:val="center"/>
          </w:tcPr>
          <w:p>
            <w:r>
              <w:rPr>
                <w:b w:val="false"/>
                <w:bCs w:val="false"/>
                <w:color w:val="1A1A1A"/>
                <w:sz w:val="19"/>
                <w:szCs w:val="19"/>
              </w:rPr>
              <w:t xml:space="preserve">Globally unique, self-describing. Enforced naming convention: specific enough to stand alone without a parent for context (“Prescription Templates,” never bare “Templates”).</w:t>
            </w:r>
          </w:p>
        </w:tc>
      </w:tr>
      <w:tr>
        <w:tc>
          <w:tcPr>
            <w:tcW w:type="dxa" w:w="2400"/>
            <w:shd w:fill="FAF7FA" w:val="clear"/>
            <w:tcMar>
              <w:top w:type="dxa" w:w="100"/>
              <w:left w:type="dxa" w:w="120"/>
              <w:bottom w:type="dxa" w:w="100"/>
              <w:right w:type="dxa" w:w="120"/>
            </w:tcMar>
            <w:vAlign w:val="center"/>
          </w:tcPr>
          <w:p>
            <w:r>
              <w:rPr>
                <w:b w:val="false"/>
                <w:bCs w:val="false"/>
                <w:color w:val="1A1A1A"/>
                <w:sz w:val="19"/>
                <w:szCs w:val="19"/>
              </w:rPr>
              <w:t xml:space="preserve">Domain tag(s)</w:t>
            </w:r>
          </w:p>
        </w:tc>
        <w:tc>
          <w:tcPr>
            <w:tcW w:type="dxa" w:w="6950"/>
            <w:shd w:fill="FAF7FA" w:val="clear"/>
            <w:tcMar>
              <w:top w:type="dxa" w:w="100"/>
              <w:left w:type="dxa" w:w="120"/>
              <w:bottom w:type="dxa" w:w="100"/>
              <w:right w:type="dxa" w:w="120"/>
            </w:tcMar>
            <w:vAlign w:val="center"/>
          </w:tcPr>
          <w:p>
            <w:r>
              <w:rPr>
                <w:b w:val="false"/>
                <w:bCs w:val="false"/>
                <w:color w:val="1A1A1A"/>
                <w:sz w:val="19"/>
                <w:szCs w:val="19"/>
              </w:rPr>
              <w:t xml:space="preserve">Non-authoritative label(s) for navigation and rollup reporting only — Clinical, Communication, Operations, Insights, System, Platform. Carries zero freeze or checklist authority.</w:t>
            </w:r>
          </w:p>
        </w:tc>
      </w:tr>
      <w:tr>
        <w:tc>
          <w:tcPr>
            <w:tcW w:type="dxa" w:w="2400"/>
            <w:tcMar>
              <w:top w:type="dxa" w:w="100"/>
              <w:left w:type="dxa" w:w="120"/>
              <w:bottom w:type="dxa" w:w="100"/>
              <w:right w:type="dxa" w:w="120"/>
            </w:tcMar>
            <w:vAlign w:val="center"/>
          </w:tcPr>
          <w:p>
            <w:r>
              <w:rPr>
                <w:b w:val="false"/>
                <w:bCs w:val="false"/>
                <w:color w:val="1A1A1A"/>
                <w:sz w:val="19"/>
                <w:szCs w:val="19"/>
              </w:rPr>
              <w:t xml:space="preserve">Size Tier (S/M/L/XL)</w:t>
            </w:r>
          </w:p>
        </w:tc>
        <w:tc>
          <w:tcPr>
            <w:tcW w:type="dxa" w:w="6950"/>
            <w:tcMar>
              <w:top w:type="dxa" w:w="100"/>
              <w:left w:type="dxa" w:w="120"/>
              <w:bottom w:type="dxa" w:w="100"/>
              <w:right w:type="dxa" w:w="120"/>
            </w:tcMar>
            <w:vAlign w:val="center"/>
          </w:tcPr>
          <w:p>
            <w:r>
              <w:rPr>
                <w:b w:val="false"/>
                <w:bCs w:val="false"/>
                <w:color w:val="1A1A1A"/>
                <w:sz w:val="19"/>
                <w:szCs w:val="19"/>
              </w:rPr>
              <w:t xml:space="preserve">Drives checklist variant (5/8/11 gates) and governance-artifact depth, unchanged mechanism from the prior design.</w:t>
            </w:r>
          </w:p>
        </w:tc>
      </w:tr>
      <w:tr>
        <w:tc>
          <w:tcPr>
            <w:tcW w:type="dxa" w:w="2400"/>
            <w:shd w:fill="FAF7FA" w:val="clear"/>
            <w:tcMar>
              <w:top w:type="dxa" w:w="100"/>
              <w:left w:type="dxa" w:w="120"/>
              <w:bottom w:type="dxa" w:w="100"/>
              <w:right w:type="dxa" w:w="120"/>
            </w:tcMar>
            <w:vAlign w:val="center"/>
          </w:tcPr>
          <w:p>
            <w:r>
              <w:rPr>
                <w:b w:val="false"/>
                <w:bCs w:val="false"/>
                <w:color w:val="1A1A1A"/>
                <w:sz w:val="19"/>
                <w:szCs w:val="19"/>
              </w:rPr>
              <w:t xml:space="preserve">Status</w:t>
            </w:r>
          </w:p>
        </w:tc>
        <w:tc>
          <w:tcPr>
            <w:tcW w:type="dxa" w:w="6950"/>
            <w:shd w:fill="FAF7FA" w:val="clear"/>
            <w:tcMar>
              <w:top w:type="dxa" w:w="100"/>
              <w:left w:type="dxa" w:w="120"/>
              <w:bottom w:type="dxa" w:w="100"/>
              <w:right w:type="dxa" w:w="120"/>
            </w:tcMar>
            <w:vAlign w:val="center"/>
          </w:tcPr>
          <w:p>
            <w:r>
              <w:rPr>
                <w:b w:val="false"/>
                <w:bCs w:val="false"/>
                <w:color w:val="1A1A1A"/>
                <w:sz w:val="19"/>
                <w:szCs w:val="19"/>
              </w:rPr>
              <w:t xml:space="preserve">Not Scoped / Scoped / In Progress / Testing-Validation / Frozen / Future-Out-of-Scope — now lives directly on the module, no parent involved.</w:t>
            </w:r>
          </w:p>
        </w:tc>
      </w:tr>
      <w:tr>
        <w:tc>
          <w:tcPr>
            <w:tcW w:type="dxa" w:w="2400"/>
            <w:tcMar>
              <w:top w:type="dxa" w:w="100"/>
              <w:left w:type="dxa" w:w="120"/>
              <w:bottom w:type="dxa" w:w="100"/>
              <w:right w:type="dxa" w:w="120"/>
            </w:tcMar>
            <w:vAlign w:val="center"/>
          </w:tcPr>
          <w:p>
            <w:r>
              <w:rPr>
                <w:b w:val="false"/>
                <w:bCs w:val="false"/>
                <w:color w:val="1A1A1A"/>
                <w:sz w:val="19"/>
                <w:szCs w:val="19"/>
              </w:rPr>
              <w:t xml:space="preserve">Data Ownership</w:t>
            </w:r>
          </w:p>
        </w:tc>
        <w:tc>
          <w:tcPr>
            <w:tcW w:type="dxa" w:w="6950"/>
            <w:tcMar>
              <w:top w:type="dxa" w:w="100"/>
              <w:left w:type="dxa" w:w="120"/>
              <w:bottom w:type="dxa" w:w="100"/>
              <w:right w:type="dxa" w:w="120"/>
            </w:tcMar>
            <w:vAlign w:val="center"/>
          </w:tcPr>
          <w:p>
            <w:r>
              <w:rPr>
                <w:b w:val="false"/>
                <w:bCs w:val="false"/>
                <w:color w:val="1A1A1A"/>
                <w:sz w:val="19"/>
                <w:szCs w:val="19"/>
              </w:rPr>
              <w:t xml:space="preserve">New. The specific tables/schema this module is the sole canonical owner of. Exactly one module per table. This is what replaces the old “Shared Foundation belongs to the parent” assumption.</w:t>
            </w:r>
          </w:p>
        </w:tc>
      </w:tr>
      <w:tr>
        <w:tc>
          <w:tcPr>
            <w:tcW w:type="dxa" w:w="2400"/>
            <w:shd w:fill="FAF7FA" w:val="clear"/>
            <w:tcMar>
              <w:top w:type="dxa" w:w="100"/>
              <w:left w:type="dxa" w:w="120"/>
              <w:bottom w:type="dxa" w:w="100"/>
              <w:right w:type="dxa" w:w="120"/>
            </w:tcMar>
            <w:vAlign w:val="center"/>
          </w:tcPr>
          <w:p>
            <w:r>
              <w:rPr>
                <w:b w:val="false"/>
                <w:bCs w:val="false"/>
                <w:color w:val="1A1A1A"/>
                <w:sz w:val="19"/>
                <w:szCs w:val="19"/>
              </w:rPr>
              <w:t xml:space="preserve">Dependencies (typed)</w:t>
            </w:r>
          </w:p>
        </w:tc>
        <w:tc>
          <w:tcPr>
            <w:tcW w:type="dxa" w:w="6950"/>
            <w:shd w:fill="FAF7FA" w:val="clear"/>
            <w:tcMar>
              <w:top w:type="dxa" w:w="100"/>
              <w:left w:type="dxa" w:w="120"/>
              <w:bottom w:type="dxa" w:w="100"/>
              <w:right w:type="dxa" w:w="120"/>
            </w:tcMar>
            <w:vAlign w:val="center"/>
          </w:tcPr>
          <w:p>
            <w:r>
              <w:rPr>
                <w:b w:val="false"/>
                <w:bCs w:val="false"/>
                <w:color w:val="1A1A1A"/>
                <w:sz w:val="19"/>
                <w:szCs w:val="19"/>
              </w:rPr>
              <w:t xml:space="preserve">New. A list of {target module, relationship type}. Relationship types: depends-on (structural/schema coupling), reads-from (read-only), extends-schema-of (adds columns/tables to another module's owned schema — the highest-scrutiny type).</w:t>
            </w:r>
          </w:p>
        </w:tc>
      </w:tr>
      <w:tr>
        <w:tc>
          <w:tcPr>
            <w:tcW w:type="dxa" w:w="2400"/>
            <w:tcMar>
              <w:top w:type="dxa" w:w="100"/>
              <w:left w:type="dxa" w:w="120"/>
              <w:bottom w:type="dxa" w:w="100"/>
              <w:right w:type="dxa" w:w="120"/>
            </w:tcMar>
            <w:vAlign w:val="center"/>
          </w:tcPr>
          <w:p>
            <w:r>
              <w:rPr>
                <w:b w:val="false"/>
                <w:bCs w:val="false"/>
                <w:color w:val="1A1A1A"/>
                <w:sz w:val="19"/>
                <w:szCs w:val="19"/>
              </w:rPr>
              <w:t xml:space="preserve">Fan-in (computed)</w:t>
            </w:r>
          </w:p>
        </w:tc>
        <w:tc>
          <w:tcPr>
            <w:tcW w:type="dxa" w:w="6950"/>
            <w:tcMar>
              <w:top w:type="dxa" w:w="100"/>
              <w:left w:type="dxa" w:w="120"/>
              <w:bottom w:type="dxa" w:w="100"/>
              <w:right w:type="dxa" w:w="120"/>
            </w:tcMar>
            <w:vAlign w:val="center"/>
          </w:tcPr>
          <w:p>
            <w:r>
              <w:rPr>
                <w:b w:val="false"/>
                <w:bCs w:val="false"/>
                <w:color w:val="1A1A1A"/>
                <w:sz w:val="19"/>
                <w:szCs w:val="19"/>
              </w:rPr>
              <w:t xml:space="preserve">Not stored — computed live as the count of other modules that declare a dependency on this one. Drives the automatic Foundational flag (Section 4.2).</w:t>
            </w:r>
          </w:p>
        </w:tc>
      </w:tr>
      <w:tr>
        <w:tc>
          <w:tcPr>
            <w:tcW w:type="dxa" w:w="2400"/>
            <w:shd w:fill="FAF7FA" w:val="clear"/>
            <w:tcMar>
              <w:top w:type="dxa" w:w="100"/>
              <w:left w:type="dxa" w:w="120"/>
              <w:bottom w:type="dxa" w:w="100"/>
              <w:right w:type="dxa" w:w="120"/>
            </w:tcMar>
            <w:vAlign w:val="center"/>
          </w:tcPr>
          <w:p>
            <w:r>
              <w:rPr>
                <w:b w:val="false"/>
                <w:bCs w:val="false"/>
                <w:color w:val="1A1A1A"/>
                <w:sz w:val="19"/>
                <w:szCs w:val="19"/>
              </w:rPr>
              <w:t xml:space="preserve">Version</w:t>
            </w:r>
          </w:p>
        </w:tc>
        <w:tc>
          <w:tcPr>
            <w:tcW w:type="dxa" w:w="6950"/>
            <w:shd w:fill="FAF7FA" w:val="clear"/>
            <w:tcMar>
              <w:top w:type="dxa" w:w="100"/>
              <w:left w:type="dxa" w:w="120"/>
              <w:bottom w:type="dxa" w:w="100"/>
              <w:right w:type="dxa" w:w="120"/>
            </w:tcMar>
            <w:vAlign w:val="center"/>
          </w:tcPr>
          <w:p>
            <w:r>
              <w:rPr>
                <w:b w:val="false"/>
                <w:bCs w:val="false"/>
                <w:color w:val="1A1A1A"/>
                <w:sz w:val="19"/>
                <w:szCs w:val="19"/>
              </w:rPr>
              <w:t xml:space="preserve">Semantic version string, independently incremented per module — newly meaningful now that modules are not subordinate to a parent's version.</w:t>
            </w:r>
          </w:p>
        </w:tc>
      </w:tr>
      <w:tr>
        <w:tc>
          <w:tcPr>
            <w:tcW w:type="dxa" w:w="2400"/>
            <w:tcMar>
              <w:top w:type="dxa" w:w="100"/>
              <w:left w:type="dxa" w:w="120"/>
              <w:bottom w:type="dxa" w:w="100"/>
              <w:right w:type="dxa" w:w="120"/>
            </w:tcMar>
            <w:vAlign w:val="center"/>
          </w:tcPr>
          <w:p>
            <w:r>
              <w:rPr>
                <w:b w:val="false"/>
                <w:bCs w:val="false"/>
                <w:color w:val="1A1A1A"/>
                <w:sz w:val="19"/>
                <w:szCs w:val="19"/>
              </w:rPr>
              <w:t xml:space="preserve">Owner</w:t>
            </w:r>
          </w:p>
        </w:tc>
        <w:tc>
          <w:tcPr>
            <w:tcW w:type="dxa" w:w="6950"/>
            <w:tcMar>
              <w:top w:type="dxa" w:w="100"/>
              <w:left w:type="dxa" w:w="120"/>
              <w:bottom w:type="dxa" w:w="100"/>
              <w:right w:type="dxa" w:w="120"/>
            </w:tcMar>
            <w:vAlign w:val="center"/>
          </w:tcPr>
          <w:p>
            <w:r>
              <w:rPr>
                <w:b w:val="false"/>
                <w:bCs w:val="false"/>
                <w:color w:val="1A1A1A"/>
                <w:sz w:val="19"/>
                <w:szCs w:val="19"/>
              </w:rPr>
              <w:t xml:space="preserve">Engineer name or AI agent identifier.</w:t>
            </w:r>
          </w:p>
        </w:tc>
      </w:tr>
      <w:tr>
        <w:tc>
          <w:tcPr>
            <w:tcW w:type="dxa" w:w="2400"/>
            <w:shd w:fill="FAF7FA" w:val="clear"/>
            <w:tcMar>
              <w:top w:type="dxa" w:w="100"/>
              <w:left w:type="dxa" w:w="120"/>
              <w:bottom w:type="dxa" w:w="100"/>
              <w:right w:type="dxa" w:w="120"/>
            </w:tcMar>
            <w:vAlign w:val="center"/>
          </w:tcPr>
          <w:p>
            <w:r>
              <w:rPr>
                <w:b w:val="false"/>
                <w:bCs w:val="false"/>
                <w:color w:val="1A1A1A"/>
                <w:sz w:val="19"/>
                <w:szCs w:val="19"/>
              </w:rPr>
              <w:t xml:space="preserve">AI Ownership</w:t>
            </w:r>
          </w:p>
        </w:tc>
        <w:tc>
          <w:tcPr>
            <w:tcW w:type="dxa" w:w="6950"/>
            <w:shd w:fill="FAF7FA" w:val="clear"/>
            <w:tcMar>
              <w:top w:type="dxa" w:w="100"/>
              <w:left w:type="dxa" w:w="120"/>
              <w:bottom w:type="dxa" w:w="100"/>
              <w:right w:type="dxa" w:w="120"/>
            </w:tcMar>
            <w:vAlign w:val="center"/>
          </w:tcPr>
          <w:p>
            <w:r>
              <w:rPr>
                <w:b w:val="false"/>
                <w:bCs w:val="false"/>
                <w:color w:val="1A1A1A"/>
                <w:sz w:val="19"/>
                <w:szCs w:val="19"/>
              </w:rPr>
              <w:t xml:space="preserve">None / Assist / Full-Agent-Owned, plus a scope-boundary note. Deliberately mirrors the Data Ownership field — an agent's permission boundary and the module's declared schema ownership are the same field, not two things to keep in sync.</w:t>
            </w:r>
          </w:p>
        </w:tc>
      </w:tr>
      <w:tr>
        <w:tc>
          <w:tcPr>
            <w:tcW w:type="dxa" w:w="2400"/>
            <w:tcMar>
              <w:top w:type="dxa" w:w="100"/>
              <w:left w:type="dxa" w:w="120"/>
              <w:bottom w:type="dxa" w:w="100"/>
              <w:right w:type="dxa" w:w="120"/>
            </w:tcMar>
            <w:vAlign w:val="center"/>
          </w:tcPr>
          <w:p>
            <w:r>
              <w:rPr>
                <w:b w:val="false"/>
                <w:bCs w:val="false"/>
                <w:color w:val="1A1A1A"/>
                <w:sz w:val="19"/>
                <w:szCs w:val="19"/>
              </w:rPr>
              <w:t xml:space="preserve">Checklist + Freeze-Amendment log</w:t>
            </w:r>
          </w:p>
        </w:tc>
        <w:tc>
          <w:tcPr>
            <w:tcW w:type="dxa" w:w="6950"/>
            <w:tcMar>
              <w:top w:type="dxa" w:w="100"/>
              <w:left w:type="dxa" w:w="120"/>
              <w:bottom w:type="dxa" w:w="100"/>
              <w:right w:type="dxa" w:w="120"/>
            </w:tcMar>
            <w:vAlign w:val="center"/>
          </w:tcPr>
          <w:p>
            <w:r>
              <w:rPr>
                <w:b w:val="false"/>
                <w:bCs w:val="false"/>
                <w:color w:val="1A1A1A"/>
                <w:sz w:val="19"/>
                <w:szCs w:val="19"/>
              </w:rPr>
              <w:t xml:space="preserve">Unchanged mechanism from the prior design, now living directly on the module with no parent-freeze prerequisite — replaced by the Foundational gate below.</w:t>
            </w:r>
          </w:p>
        </w:tc>
      </w:tr>
    </w:tbl>
    <w:p>
      <w:pPr>
        <w:pStyle w:val="Heading2"/>
        <w:spacing w:after="130" w:before="300"/>
      </w:pPr>
      <w:r>
        <w:t xml:space="preserve">4.2 The Foundational gate — the flat replacement for “Shared Foundation must freeze first”</w:t>
      </w:r>
    </w:p>
    <w:p>
      <w:pPr>
        <w:spacing w:after="150" w:line="288"/>
      </w:pPr>
      <w:r>
        <w:rPr>
          <w:b w:val="false"/>
          <w:bCs w:val="false"/>
          <w:i w:val="false"/>
          <w:iCs w:val="false"/>
          <w:color w:val="1A1A1A"/>
          <w:sz w:val="21"/>
          <w:szCs w:val="21"/>
        </w:rPr>
        <w:t xml:space="preserve">Any module with fan-in ≥ 3 (or manually flagged Foundational for a smaller but critical dependency count) is automatically labeled Foundational. Dependent modules may not leave “Not Started” until every Foundational module they depend on has published a stable, versioned public contract — the direct graph-computed substitute for the old parent-freeze-first rule, without reintroducing a parent.</w:t>
      </w:r>
    </w:p>
    <w:p>
      <w:pPr>
        <w:pStyle w:val="ListParagraph"/>
        <w:numPr>
          <w:ilvl w:val="0"/>
          <w:numId w:val="2"/>
        </w:numPr>
        <w:spacing w:after="100" w:line="276"/>
      </w:pPr>
      <w:r>
        <w:rPr>
          <w:color w:val="1A1A1A"/>
          <w:sz w:val="21"/>
          <w:szCs w:val="21"/>
        </w:rPr>
        <w:t xml:space="preserve">Amending a Foundational module after it is Frozen requires the same 3-reason-code process as before (Security / Compliance / Shared-Schema-Migration), plus one addition: listing which dependent modules were notified, since a change here has a wider blast radius than an ordinary module.</w:t>
      </w:r>
    </w:p>
    <w:p>
      <w:pPr>
        <w:pStyle w:val="ListParagraph"/>
        <w:numPr>
          <w:ilvl w:val="0"/>
          <w:numId w:val="2"/>
        </w:numPr>
        <w:spacing w:after="100" w:line="276"/>
      </w:pPr>
      <w:r>
        <w:rPr>
          <w:color w:val="1A1A1A"/>
          <w:sz w:val="21"/>
          <w:szCs w:val="21"/>
        </w:rPr>
        <w:t xml:space="preserve">Non-Foundational modules keep the simple per-module Freeze-Amendment process, unchanged.</w:t>
      </w:r>
    </w:p>
    <w:p>
      <w:pPr>
        <w:pStyle w:val="Heading2"/>
        <w:spacing w:after="130" w:before="300"/>
      </w:pPr>
      <w:r>
        <w:t xml:space="preserve">4.3 Master Register / Dashboard changes</w:t>
      </w:r>
    </w:p>
    <w:p>
      <w:pPr>
        <w:pStyle w:val="ListParagraph"/>
        <w:numPr>
          <w:ilvl w:val="0"/>
          <w:numId w:val="2"/>
        </w:numPr>
        <w:spacing w:after="100" w:line="276"/>
      </w:pPr>
      <w:r>
        <w:rPr>
          <w:color w:val="1A1A1A"/>
          <w:sz w:val="21"/>
          <w:szCs w:val="21"/>
        </w:rPr>
        <w:t xml:space="preserve">Sidebar tree is retired. Replaced with: a search box, Domain filter chips (multi-select, non-hierarchical), and tier/status/owner filters, over a flat sortable list of all modules — the same fix needed for both the 90-module and eventual 500-module case (Section 1.5).</w:t>
      </w:r>
    </w:p>
    <w:p>
      <w:pPr>
        <w:pStyle w:val="ListParagraph"/>
        <w:numPr>
          <w:ilvl w:val="0"/>
          <w:numId w:val="2"/>
        </w:numPr>
        <w:spacing w:after="100" w:line="276"/>
      </w:pPr>
      <w:r>
        <w:rPr>
          <w:color w:val="1A1A1A"/>
          <w:sz w:val="21"/>
          <w:szCs w:val="21"/>
        </w:rPr>
        <w:t xml:space="preserve">Module detail page carries every field in 4.1 — no more “Module vs Child Module” page distinction, because there is only one kind of page now.</w:t>
      </w:r>
    </w:p>
    <w:p>
      <w:pPr>
        <w:pStyle w:val="ListParagraph"/>
        <w:numPr>
          <w:ilvl w:val="0"/>
          <w:numId w:val="2"/>
        </w:numPr>
        <w:spacing w:after="100" w:line="276"/>
      </w:pPr>
      <w:r>
        <w:rPr>
          <w:color w:val="1A1A1A"/>
          <w:sz w:val="21"/>
          <w:szCs w:val="21"/>
        </w:rPr>
        <w:t xml:space="preserve">Dependency Graph becomes a primary top-level view, not a secondary diagram — reusing the existing hover-highlight interaction pattern already built for the presentation work, now serving as the main way to understand blast radius before touching a Foundational module.</w:t>
      </w:r>
    </w:p>
    <w:p>
      <w:pPr>
        <w:pStyle w:val="ListParagraph"/>
        <w:numPr>
          <w:ilvl w:val="0"/>
          <w:numId w:val="2"/>
        </w:numPr>
        <w:spacing w:after="100" w:line="276"/>
      </w:pPr>
      <w:r>
        <w:rPr>
          <w:color w:val="1A1A1A"/>
          <w:sz w:val="21"/>
          <w:szCs w:val="21"/>
        </w:rPr>
        <w:t xml:space="preserve">New “Foundational Modules” panel — the auto-computed high-fan-in list, so this critical structural fact is always visible rather than left to memory.</w:t>
      </w:r>
    </w:p>
    <w:p>
      <w:pPr>
        <w:pStyle w:val="ListParagraph"/>
        <w:numPr>
          <w:ilvl w:val="0"/>
          <w:numId w:val="2"/>
        </w:numPr>
        <w:spacing w:after="100" w:line="276"/>
      </w:pPr>
      <w:r>
        <w:rPr>
          <w:color w:val="1A1A1A"/>
          <w:sz w:val="21"/>
          <w:szCs w:val="21"/>
        </w:rPr>
        <w:t xml:space="preserve">Domain Rollup cards replace the old per-parent weighted-progress card — same weighted-by-tier math as before, now aggregating whichever flat modules share a Domain tag, purely for reporting, with explicitly zero freeze authority attached.</w:t>
      </w:r>
    </w:p>
    <w:p>
      <w:pPr>
        <w:pStyle w:val="ListParagraph"/>
        <w:numPr>
          <w:ilvl w:val="0"/>
          <w:numId w:val="2"/>
        </w:numPr>
        <w:spacing w:after="100" w:line="276"/>
      </w:pPr>
      <w:r>
        <w:rPr>
          <w:color w:val="1A1A1A"/>
          <w:sz w:val="21"/>
          <w:szCs w:val="21"/>
        </w:rPr>
        <w:t xml:space="preserve">Assignment Board and Cross-Cutting Programs carry over unchanged in concept — both already worked at the module level and need no rework for the flat model.</w:t>
      </w:r>
    </w:p>
    <w:p>
      <w:pPr>
        <w:pStyle w:val="Heading2"/>
        <w:spacing w:after="130" w:before="300"/>
      </w:pPr>
      <w:r>
        <w:t xml:space="preserve">4.4 Documentation structure</w:t>
      </w:r>
    </w:p>
    <w:p>
      <w:pPr>
        <w:spacing w:after="150" w:line="288"/>
      </w:pPr>
      <w:r>
        <w:rPr>
          <w:b w:val="false"/>
          <w:bCs w:val="false"/>
          <w:i w:val="false"/>
          <w:iCs w:val="false"/>
          <w:color w:val="1A1A1A"/>
          <w:sz w:val="21"/>
          <w:szCs w:val="21"/>
        </w:rPr>
        <w:t xml:space="preserve">One flat documentation folder per module (e.g. docs/modules/patient-management/, docs/modules/journey-timeline/) — no nested folders mirroring a parent/child relationship that no longer exists. A single standard template applies to every module regardless of position, with depth scaled by Size Tier: an S-tier module gets a one-paragraph scope note, an XL-tier module gets the full scope/architecture/API-contract/decision-log set.</w:t>
      </w:r>
    </w:p>
    <w:p>
      <w:pPr>
        <w:pStyle w:val="Heading2"/>
        <w:spacing w:after="130" w:before="300"/>
      </w:pPr>
      <w:r>
        <w:t xml:space="preserve">4.5 Execution workflow</w:t>
      </w:r>
    </w:p>
    <w:p>
      <w:pPr>
        <w:spacing w:after="150" w:line="288"/>
      </w:pPr>
      <w:r>
        <w:rPr>
          <w:b w:val="false"/>
          <w:bCs w:val="false"/>
          <w:i w:val="false"/>
          <w:iCs w:val="false"/>
          <w:color w:val="1A1A1A"/>
          <w:sz w:val="21"/>
          <w:szCs w:val="21"/>
        </w:rPr>
        <w:t xml:space="preserve">Sequencing directives (in the style of the existing CEO Directive #004) become an explicit ordered list of Module names with rationale, rather than domain-level sequencing. This is a genuine precision improvement: Directive #004 currently says “finish Consultations before Treatment Plans” when what actually matters is the order of the individual modules underneath — Standard Consultation, Same-Issue, Minor Visit, Emergency, COHA, each on its own priority — and flat naming makes that precision unavoidable instead of optional.</w:t>
      </w:r>
    </w:p>
    <w:p>
      <w:pPr>
        <w:pStyle w:val="Heading2"/>
        <w:spacing w:after="130" w:before="300"/>
      </w:pPr>
      <w:r>
        <w:t xml:space="preserve">4.6 Freeze process</w:t>
      </w:r>
    </w:p>
    <w:p>
      <w:pPr>
        <w:spacing w:after="150" w:line="288"/>
      </w:pPr>
      <w:r>
        <w:rPr>
          <w:b w:val="false"/>
          <w:bCs w:val="false"/>
          <w:i w:val="false"/>
          <w:iCs w:val="false"/>
          <w:color w:val="1A1A1A"/>
          <w:sz w:val="21"/>
          <w:szCs w:val="21"/>
        </w:rPr>
        <w:t xml:space="preserve">Unchanged 3-reason-code Amendment mechanism, now applied per-module directly with the added Foundational-module rule from Section 4.2. No separate parent-level freeze process exists anymore because no parent exists.</w:t>
      </w:r>
    </w:p>
    <w:p>
      <w:pPr>
        <w:pStyle w:val="Heading2"/>
        <w:spacing w:after="130" w:before="300"/>
      </w:pPr>
      <w:r>
        <w:t xml:space="preserve">4.7 AI ownership model</w:t>
      </w:r>
    </w:p>
    <w:p>
      <w:pPr>
        <w:pStyle w:val="ListParagraph"/>
        <w:numPr>
          <w:ilvl w:val="0"/>
          <w:numId w:val="2"/>
        </w:numPr>
        <w:spacing w:after="100" w:line="276"/>
      </w:pPr>
      <w:r>
        <w:rPr>
          <w:color w:val="1A1A1A"/>
          <w:sz w:val="21"/>
          <w:szCs w:val="21"/>
        </w:rPr>
        <w:t xml:space="preserve">Each module's AI Ownership field states None / Assist / Full-Agent-Owned plus a scope-boundary note that mirrors its Data Ownership field exactly — an agent's permission boundary is never a separate document from the module's own schema-ownership declaration.</w:t>
      </w:r>
    </w:p>
    <w:p>
      <w:pPr>
        <w:pStyle w:val="ListParagraph"/>
        <w:numPr>
          <w:ilvl w:val="0"/>
          <w:numId w:val="2"/>
        </w:numPr>
        <w:spacing w:after="100" w:line="276"/>
      </w:pPr>
      <w:r>
        <w:rPr>
          <w:color w:val="1A1A1A"/>
          <w:sz w:val="21"/>
          <w:szCs w:val="21"/>
        </w:rPr>
        <w:t xml:space="preserve">Foundational modules default to Assist (human-supervised) rather than Full-Agent-Owned, given their wider blast radius — a recommended default, not a hard rule, and overridable per module with justification.</w:t>
      </w:r>
    </w:p>
    <w:p>
      <w:pPr>
        <w:pStyle w:val="ListParagraph"/>
        <w:numPr>
          <w:ilvl w:val="0"/>
          <w:numId w:val="2"/>
        </w:numPr>
        <w:spacing w:after="100" w:line="276"/>
      </w:pPr>
      <w:r>
        <w:rPr>
          <w:color w:val="1A1A1A"/>
          <w:sz w:val="21"/>
          <w:szCs w:val="21"/>
        </w:rPr>
        <w:t xml:space="preserve">“Engineer A → ABHA, Engineer B → Journey Timeline, Engineer C → Consultation, Engineer D → Billing” — the user's own example — works directly under this model with no coordination needed beyond checking the Foundational gate on whatever each of those four modules depends on.</w:t>
      </w:r>
    </w:p>
    <w:p>
      <w:r>
        <w:br w:type="page"/>
      </w:r>
    </w:p>
    <w:p>
      <w:pPr>
        <w:pStyle w:val="Heading1"/>
        <w:spacing w:after="170" w:before="420"/>
      </w:pPr>
      <w:r>
        <w:t xml:space="preserve">5. Migration From the Just-Built V2 Dashboard</w:t>
      </w:r>
    </w:p>
    <w:p>
      <w:pPr>
        <w:spacing w:after="150" w:line="288"/>
      </w:pPr>
      <w:r>
        <w:rPr>
          <w:b w:val="false"/>
          <w:bCs w:val="false"/>
          <w:i w:val="false"/>
          <w:iCs w:val="false"/>
          <w:color w:val="1A1A1A"/>
          <w:sz w:val="21"/>
          <w:szCs w:val="21"/>
        </w:rPr>
        <w:t xml:space="preserve">The V2 file will be edited in place, per instruction — no new HTML file. The migration is mechanical for most of it, since V2's own data already distinguishes real engineering content from container rows:</w:t>
      </w:r>
    </w:p>
    <w:p>
      <w:pPr>
        <w:pStyle w:val="ListParagraph"/>
        <w:numPr>
          <w:ilvl w:val="0"/>
          <w:numId w:val="4"/>
        </w:numPr>
        <w:spacing w:after="100" w:line="276"/>
      </w:pPr>
      <w:r>
        <w:rPr>
          <w:color w:val="1A1A1A"/>
          <w:sz w:val="21"/>
          <w:szCs w:val="21"/>
        </w:rPr>
        <w:t xml:space="preserve">Every existing Module (the old container/parent row) becomes a Domain-tagged flat Module in its own right only where it already carries real, audited scope — otherwise it is retired as a pure label and its meta text is redistributed to its former children as shared context.</w:t>
      </w:r>
    </w:p>
    <w:p>
      <w:pPr>
        <w:pStyle w:val="ListParagraph"/>
        <w:numPr>
          <w:ilvl w:val="0"/>
          <w:numId w:val="4"/>
        </w:numPr>
        <w:spacing w:after="100" w:line="276"/>
      </w:pPr>
      <w:r>
        <w:rPr>
          <w:color w:val="1A1A1A"/>
          <w:sz w:val="21"/>
          <w:szCs w:val="21"/>
        </w:rPr>
        <w:t xml:space="preserve">Every existing Child Module becomes a flat Module directly, keeping its checklist state, tier, and owner fields already built in V2 — no data loss.</w:t>
      </w:r>
    </w:p>
    <w:p>
      <w:pPr>
        <w:pStyle w:val="ListParagraph"/>
        <w:numPr>
          <w:ilvl w:val="0"/>
          <w:numId w:val="4"/>
        </w:numPr>
        <w:spacing w:after="100" w:line="276"/>
      </w:pPr>
      <w:r>
        <w:rPr>
          <w:color w:val="1A1A1A"/>
          <w:sz w:val="21"/>
          <w:szCs w:val="21"/>
        </w:rPr>
        <w:t xml:space="preserve">The 11 auto-collapsed single-child modules from the V2 migration (Tasks, Reports, Analytics, HQ Superadmin, and the rest) become flat Modules as-is, still carrying their “auto-collapsed, pending audit” flag — that honesty flag remains just as necessary here as it was under the old schema.</w:t>
      </w:r>
    </w:p>
    <w:p>
      <w:pPr>
        <w:pStyle w:val="ListParagraph"/>
        <w:numPr>
          <w:ilvl w:val="0"/>
          <w:numId w:val="4"/>
        </w:numPr>
        <w:spacing w:after="100" w:line="276"/>
      </w:pPr>
      <w:r>
        <w:rPr>
          <w:color w:val="1A1A1A"/>
          <w:sz w:val="21"/>
          <w:szCs w:val="21"/>
        </w:rPr>
        <w:t xml:space="preserve">The two dependencies already grounded in real meta text (Treatment Visits → Treatment Plans, Analytics → Finance Analytics) get typed on migration — both are schema/structural couplings, so both become depends-on edges, not reads-from.</w:t>
      </w:r>
    </w:p>
    <w:p>
      <w:pPr>
        <w:pStyle w:val="ListParagraph"/>
        <w:numPr>
          <w:ilvl w:val="0"/>
          <w:numId w:val="4"/>
        </w:numPr>
        <w:spacing w:after="100" w:line="276"/>
      </w:pPr>
      <w:r>
        <w:rPr>
          <w:color w:val="1A1A1A"/>
          <w:sz w:val="21"/>
          <w:szCs w:val="21"/>
        </w:rPr>
        <w:t xml:space="preserve">Patient Management inherits Data Ownership of the `patients` table explicitly — the one already-enforced project invariant (PatientService::register()) becomes the first real entry in the new Data Ownership field, not a new rule but a formalization of one that already exists.</w:t>
      </w:r>
    </w:p>
    <w:p>
      <w:pPr>
        <w:pStyle w:val="ListParagraph"/>
        <w:numPr>
          <w:ilvl w:val="0"/>
          <w:numId w:val="4"/>
        </w:numPr>
        <w:spacing w:after="100" w:line="276"/>
      </w:pPr>
      <w:r>
        <w:rPr>
          <w:color w:val="1A1A1A"/>
          <w:sz w:val="21"/>
          <w:szCs w:val="21"/>
        </w:rPr>
        <w:t xml:space="preserve">Fan-in is computed fresh from the migrated dependency list; Patient Management, Billing, and Consultations are expected to surface as Foundational immediately given how many other modules already reference them in existing meta text.</w:t>
      </w:r>
    </w:p>
    <w:p>
      <w:pPr>
        <w:spacing w:after="150" w:line="288"/>
      </w:pPr>
      <w:r>
        <w:rPr>
          <w:b w:val="false"/>
          <w:bCs w:val="false"/>
          <w:i w:val="false"/>
          <w:iCs w:val="false"/>
          <w:color w:val="1A1A1A"/>
          <w:sz w:val="21"/>
          <w:szCs w:val="21"/>
        </w:rPr>
        <w:t xml:space="preserve">This document is the design; the next step, once confirmed, is editing Dentfluence_Master_Register_Dashboard_V2.html directly to implement it — same file, no new file, per instruction.</w:t>
      </w:r>
    </w:p>
    <w:sectPr>
      <w:pgSz w:w="12240" w:h="15840" w:orient="portrait"/>
      <w:pgMar w:top="1180" w:right="1300" w:bottom="11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82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02070" w:sz="8" w:space="6"/>
      </w:pBdr>
      <w:spacing w:after="170" w:before="420"/>
    </w:pPr>
    <w:rPr>
      <w:rFonts w:ascii="Georgia" w:cs="Georgia" w:eastAsia="Georgia" w:hAnsi="Georgia"/>
      <w:b/>
      <w:bCs/>
      <w:color w:val="702070"/>
      <w:sz w:val="32"/>
      <w:szCs w:val="32"/>
    </w:rPr>
  </w:style>
  <w:style w:type="paragraph" w:styleId="Heading2">
    <w:name w:val="Heading 2"/>
    <w:basedOn w:val="Normal"/>
    <w:next w:val="Normal"/>
    <w:qFormat/>
    <w:rPr>
      <w:rFonts w:ascii="Georgia" w:cs="Georgia" w:eastAsia="Georgia" w:hAnsi="Georgia"/>
      <w:b/>
      <w:bCs/>
      <w:color w:val="1A1A1A"/>
      <w:sz w:val="25"/>
      <w:szCs w:val="25"/>
    </w:rPr>
  </w:style>
  <w:style w:type="paragraph" w:styleId="Heading3">
    <w:name w:val="Heading 3"/>
    <w:basedOn w:val="Normal"/>
    <w:next w:val="Normal"/>
    <w:qFormat/>
    <w:rPr>
      <w:rFonts w:ascii="Georgia" w:cs="Georgia" w:eastAsia="Georgia" w:hAnsi="Georgia"/>
      <w:b/>
      <w:bCs/>
      <w:i/>
      <w:iCs/>
      <w:color w:val="6B64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2026-08-02T18:32:28.068Z</dcterms:created>
  <dcterms:modified xsi:type="dcterms:W3CDTF">2026-08-02T18:32:28.068Z</dcterms:modified>
</cp:coreProperties>
</file>

<file path=docProps/custom.xml><?xml version="1.0" encoding="utf-8"?>
<Properties xmlns="http://schemas.openxmlformats.org/officeDocument/2006/custom-properties" xmlns:vt="http://schemas.openxmlformats.org/officeDocument/2006/docPropsVTypes"/>
</file>