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DENTFLUENCE</w:t>
      </w:r>
    </w:p>
    <w:p>
      <w:pPr>
        <w:spacing w:after="100"/>
      </w:pPr>
      <w:r>
        <w:rPr>
          <w:b/>
          <w:bCs/>
          <w:sz w:val="32"/>
          <w:szCs w:val="32"/>
        </w:rPr>
        <w:t xml:space="preserve">Master Roadmap &amp; Documentation Consolidation</w:t>
      </w:r>
    </w:p>
    <w:p>
      <w:pPr>
        <w:spacing w:after="120"/>
      </w:pPr>
      <w:r>
        <w:rPr>
          <w:i/>
          <w:iCs/>
        </w:rPr>
        <w:t xml:space="preserve">Prepared per CEO Directive — Project Documentation Consolidation &amp; Master Roadmap Freeze</w:t>
      </w:r>
    </w:p>
    <w:p>
      <w:pPr>
        <w:spacing w:after="120"/>
      </w:pPr>
      <w:r>
        <w:rPr>
          <w:i/>
          <w:iCs/>
        </w:rPr>
        <w:t xml:space="preserve">Date: July 30, 2026</w:t>
      </w:r>
    </w:p>
    <w:p>
      <w:pPr>
        <w:spacing w:after="120"/>
      </w:pPr>
      <w:r>
        <w:rPr>
          <w:i/>
          <w:iCs/>
        </w:rPr>
        <w:t xml:space="preserve">Prepared by: Principal Engineer / Chief Architect (Claude)</w:t>
      </w:r>
    </w:p>
    <w:p>
      <w:r>
        <w:br w:type="page"/>
      </w:r>
    </w:p>
    <w:p>
      <w:pPr>
        <w:pStyle w:val="Heading1"/>
        <w:spacing w:after="200" w:before="400"/>
      </w:pPr>
      <w:r>
        <w:t xml:space="preserve">1. Executive Summary</w:t>
      </w:r>
    </w:p>
    <w:p>
      <w:pPr>
        <w:spacing w:after="120"/>
      </w:pPr>
      <w:r>
        <w:t xml:space="preserve">Dentfluence has enough documentation to run a small consultancy on. Roughly 240 documents exist across a memory system (151 files) and the project's docs/ folder (149 files, plus 11 at repo root) — roadmaps, audits, phase reports, and directives, many overlapping, several contradicting each other, and a handful genuinely obsolete. This exercise reviewed all of it and produces exactly one governing document: this one.</w:t>
      </w:r>
    </w:p>
    <w:p>
      <w:pPr>
        <w:spacing w:after="120"/>
      </w:pPr>
      <w:r>
        <w:t xml:space="preserve">The headline finding is not that Dentfluence lacks direction — it has a locked, well-reasoned roadmap (CEO Directive #003) and a disciplined execution model for its current initiative (Patient Journey V1.1: one slice at a time, CEO-gated, test-locked). The problem is that direction is scattered across three overlapping planning layers that don't reference each other cleanly: the top-level product roadmap, the Patient Journey V1.1 phase/slice plan, and a separate historical PRE/Communication phase sequence that reused the same "Phase 0-8" numbering for something else entirely. This document nests all three correctly, resolves five live contradictions, and tells you what to do Monday morning.</w:t>
      </w:r>
    </w:p>
    <w:p>
      <w:pPr>
        <w:spacing w:after="120"/>
      </w:pPr>
      <w:r>
        <w:rPr>
          <w:b/>
          <w:bCs/>
        </w:rPr>
        <w:t xml:space="preserve">Where the business stands: </w:t>
      </w:r>
      <w:r>
        <w:t xml:space="preserve">Dentfluence is genuinely past MVP for one clinic — a transactional finance chain, 1,200+ routes, 183 models, a working companion mobile app, and a functioning AI assistant layer ("Tulip") already wired into every page. It is not yet safe for a second clinic (no tenant isolation, no PHI encryption) and a meaningful share of recent work is code-complete but never exercised on real data. The next 90 days should close that gap, not open new ones.</w:t>
      </w:r>
    </w:p>
    <w:p>
      <w:pPr>
        <w:spacing w:after="120"/>
      </w:pPr>
      <w:r>
        <w:rPr>
          <w:b/>
          <w:bCs/>
        </w:rPr>
        <w:t xml:space="preserve">What changes today: </w:t>
      </w:r>
      <w:r>
        <w:t xml:space="preserve">No new roadmap. No new modules. The CEO's Directive #003 sequence (Phase 1 → V1.5 → V2 → V3 → V4) is confirmed as the single governing structure. All other roadmap-shaped documents are reclassified as reference or archive beneath it.</w:t>
      </w:r>
    </w:p>
    <w:p>
      <w:pPr>
        <w:pStyle w:val="Heading1"/>
        <w:spacing w:after="200" w:before="400"/>
      </w:pPr>
      <w:r>
        <w:t xml:space="preserve">2. Master Product Vision</w:t>
      </w:r>
    </w:p>
    <w:p>
      <w:pPr>
        <w:spacing w:after="120"/>
      </w:pPr>
      <w:r>
        <w:t xml:space="preserve">Dentfluence is not a Dental Practice Management System. It is the Operating System for a dental practice — one integrated spine (patients, appointments, clinical record, communication, finance, inventory) that every future capability, including AI, plugs into rather than duplicates.</w:t>
      </w:r>
    </w:p>
    <w:p>
      <w:pPr>
        <w:pStyle w:val="Heading2"/>
        <w:spacing w:after="150" w:before="300"/>
      </w:pPr>
      <w:r>
        <w:t xml:space="preserve">Product structure</w:t>
      </w:r>
    </w:p>
    <w:p>
      <w:pPr>
        <w:pStyle w:val="ListParagraph"/>
        <w:numPr>
          <w:ilvl w:val="0"/>
          <w:numId w:val="1"/>
        </w:numPr>
        <w:spacing w:after="60"/>
      </w:pPr>
      <w:r>
        <w:rPr>
          <w:b/>
          <w:bCs/>
        </w:rPr>
        <w:t xml:space="preserve">Dentfluence Platform — </w:t>
      </w:r>
      <w:r>
        <w:t xml:space="preserve">the OS itself: the event spine (ActivityEngine/RulesEngine), the canonical service layer, the API layer shared by web/mobile/automation/AI, and the permission/tenancy model. This is the moat; every module is replaceable, the platform is not.</w:t>
      </w:r>
    </w:p>
    <w:p>
      <w:pPr>
        <w:pStyle w:val="ListParagraph"/>
        <w:numPr>
          <w:ilvl w:val="0"/>
          <w:numId w:val="1"/>
        </w:numPr>
        <w:spacing w:after="60"/>
      </w:pPr>
      <w:r>
        <w:rPr>
          <w:b/>
          <w:bCs/>
        </w:rPr>
        <w:t xml:space="preserve">Core modules (Core V1, in daily use) — </w:t>
      </w:r>
      <w:r>
        <w:t xml:space="preserve">Patients, Appointments, Consultations, Prescriptions, Treatment Plans &amp; Visits, Billing/Finance, Inventory/Procurement, Lab, Memberships, Patient Relationship Engine (PRE)/Action Board, HR/Roles, Reports &amp; Analytics, Auth/Security, Settings.</w:t>
      </w:r>
    </w:p>
    <w:p>
      <w:pPr>
        <w:pStyle w:val="ListParagraph"/>
        <w:numPr>
          <w:ilvl w:val="0"/>
          <w:numId w:val="1"/>
        </w:numPr>
        <w:spacing w:after="60"/>
      </w:pPr>
      <w:r>
        <w:rPr>
          <w:b/>
          <w:bCs/>
        </w:rPr>
        <w:t xml:space="preserve">Adjacent products-in-waiting (loosely coupled, sellable standalone or as add-ons later) — </w:t>
      </w:r>
      <w:r>
        <w:t xml:space="preserve">Blog Marketing Hub, Marketing/Reviews Engine, Voice Assistant ("Tulip"), Clinical Digital Library, HQ/SaaS control plane (clinics, plans, subscriptions).</w:t>
      </w:r>
    </w:p>
    <w:p>
      <w:pPr>
        <w:pStyle w:val="ListParagraph"/>
        <w:numPr>
          <w:ilvl w:val="0"/>
          <w:numId w:val="1"/>
        </w:numPr>
        <w:spacing w:after="60"/>
      </w:pPr>
      <w:r>
        <w:rPr>
          <w:b/>
          <w:bCs/>
        </w:rPr>
        <w:t xml:space="preserve">V2 — Clinical Cloud: </w:t>
      </w:r>
      <w:r>
        <w:t xml:space="preserve">secure clinical media repository (images, video, documents, future CBCT), not a bolt-on file store — a genuine clinical knowledge platform with watermarking, permissioned access, and chairside presentation.</w:t>
      </w:r>
    </w:p>
    <w:p>
      <w:pPr>
        <w:pStyle w:val="ListParagraph"/>
        <w:numPr>
          <w:ilvl w:val="0"/>
          <w:numId w:val="1"/>
        </w:numPr>
        <w:spacing w:after="60"/>
      </w:pPr>
      <w:r>
        <w:rPr>
          <w:b/>
          <w:bCs/>
        </w:rPr>
        <w:t xml:space="preserve">V3 — Dentfluence Copilot: </w:t>
      </w:r>
      <w:r>
        <w:t xml:space="preserve">AI becomes the primary interface — natural language, voice, workflow orchestration — but it orchestrates the existing engines, it does not reimplement them.</w:t>
      </w:r>
    </w:p>
    <w:p>
      <w:pPr>
        <w:pStyle w:val="ListParagraph"/>
        <w:numPr>
          <w:ilvl w:val="0"/>
          <w:numId w:val="1"/>
        </w:numPr>
        <w:spacing w:after="60"/>
      </w:pPr>
      <w:r>
        <w:rPr>
          <w:b/>
          <w:bCs/>
        </w:rPr>
        <w:t xml:space="preserve">V4 — AI Practice Secretary: </w:t>
      </w:r>
      <w:r>
        <w:t xml:space="preserve">a continuously operating, largely autonomous front-of-house — appointments, comms, recall, reporting — running without a human initiating every step.</w:t>
      </w:r>
    </w:p>
    <w:p>
      <w:pPr>
        <w:spacing w:after="120"/>
      </w:pPr>
      <w:r>
        <w:t xml:space="preserve">Everything not in this list — including several fully-designed modules found during this audit (a standalone Dental CRM spin-off, ProConsult/"Dental Ecosystem Phase H", a PRM AI plan built on a since-deleted model) — is Future, not Core, and is not to be built without explicit CEO re-approval. See Section 8.</w:t>
      </w:r>
    </w:p>
    <w:p>
      <w:pPr>
        <w:pStyle w:val="Heading1"/>
        <w:spacing w:after="200" w:before="400"/>
      </w:pPr>
      <w:r>
        <w:t xml:space="preserve">3. Master Roadmap</w:t>
      </w:r>
    </w:p>
    <w:p>
      <w:pPr>
        <w:spacing w:after="120"/>
      </w:pPr>
      <w:r>
        <w:t xml:space="preserve">One roadmap, three nested layers. Layer 1 is the product roadmap (CEO Directive #003) — permanent, locked. Layer 2 is the current initiative inside Phase 1 (Patient Journey V1.1) — a 9-phase, 31-slice execution plan. Layer 3 is completed historical work (the original PRE/Communication Phase 0-8 build) that is background context, not active planning. These three layers were previously living in separate documents that all called themselves "the roadmap" — that confusion ends here.</w:t>
      </w:r>
    </w:p>
    <w:p>
      <w:pPr>
        <w:pStyle w:val="Heading2"/>
        <w:spacing w:after="150" w:before="300"/>
      </w:pPr>
      <w:r>
        <w:t xml:space="preserve">Layer 1 — Product Roadmap (CEO Directive #003, LOCKED)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2000"/>
      </w:tblGrid>
      <w:tr>
        <w:trPr>
          <w:tblHeader/>
        </w:trPr>
        <w:tc>
          <w:tcPr>
            <w:tcW w:type="dxa" w:w="2600"/>
            <w:shd w:fill="1F3864" w:val="clear"/>
            <w:vAlign w:val="center"/>
          </w:tcPr>
          <w:p>
            <w:r>
              <w:rPr>
                <w:b/>
                <w:bCs/>
                <w:color w:val="FFFFFF"/>
                <w:sz w:val="18"/>
                <w:szCs w:val="18"/>
              </w:rPr>
              <w:t xml:space="preserve">Stage</w:t>
            </w:r>
          </w:p>
        </w:tc>
        <w:tc>
          <w:tcPr>
            <w:tcW w:type="dxa" w:w="5100"/>
            <w:shd w:fill="1F3864" w:val="clear"/>
            <w:vAlign w:val="center"/>
          </w:tcPr>
          <w:p>
            <w:r>
              <w:rPr>
                <w:b/>
                <w:bCs/>
                <w:color w:val="FFFFFF"/>
                <w:sz w:val="18"/>
                <w:szCs w:val="18"/>
              </w:rPr>
              <w:t xml:space="preserve">Objective</w:t>
            </w:r>
          </w:p>
        </w:tc>
        <w:tc>
          <w:tcPr>
            <w:tcW w:type="dxa" w:w="2000"/>
            <w:shd w:fill="1F3864" w:val="clear"/>
            <w:vAlign w:val="center"/>
          </w:tcPr>
          <w:p>
            <w:r>
              <w:rPr>
                <w:b/>
                <w:bCs/>
                <w:color w:val="FFFFFF"/>
                <w:sz w:val="18"/>
                <w:szCs w:val="18"/>
              </w:rPr>
              <w:t xml:space="preserve">Status</w:t>
            </w:r>
          </w:p>
        </w:tc>
      </w:tr>
      <w:tr>
        <w:tc>
          <w:tcPr>
            <w:tcW w:type="dxa" w:w="2600"/>
            <w:vAlign w:val="center"/>
          </w:tcPr>
          <w:p>
            <w:r>
              <w:rPr>
                <w:b w:val="false"/>
                <w:bCs w:val="false"/>
                <w:sz w:val="18"/>
                <w:szCs w:val="18"/>
              </w:rPr>
              <w:t xml:space="preserve">Phase 1 — Dentfluence OS</w:t>
            </w:r>
          </w:p>
        </w:tc>
        <w:tc>
          <w:tcPr>
            <w:tcW w:type="dxa" w:w="5100"/>
            <w:vAlign w:val="center"/>
          </w:tcPr>
          <w:p>
            <w:r>
              <w:rPr>
                <w:b w:val="false"/>
                <w:bCs w:val="false"/>
                <w:sz w:val="18"/>
                <w:szCs w:val="18"/>
              </w:rPr>
              <w:t xml:space="preserve">Polish every planned module to production-daily-use quality. No new modules. WhatsApp Web only (no Meta Cloud API yet).</w:t>
            </w:r>
          </w:p>
        </w:tc>
        <w:tc>
          <w:tcPr>
            <w:tcW w:type="dxa" w:w="2000"/>
            <w:vAlign w:val="center"/>
          </w:tcPr>
          <w:p>
            <w:r>
              <w:rPr>
                <w:b w:val="false"/>
                <w:bCs w:val="false"/>
                <w:sz w:val="18"/>
                <w:szCs w:val="18"/>
              </w:rPr>
              <w:t xml:space="preserve">IN PROGRESS — current stage</w:t>
            </w:r>
          </w:p>
        </w:tc>
      </w:tr>
      <w:tr>
        <w:tc>
          <w:tcPr>
            <w:tcW w:type="dxa" w:w="2600"/>
            <w:vAlign w:val="center"/>
          </w:tcPr>
          <w:p>
            <w:r>
              <w:rPr>
                <w:b w:val="false"/>
                <w:bCs w:val="false"/>
                <w:sz w:val="18"/>
                <w:szCs w:val="18"/>
              </w:rPr>
              <w:t xml:space="preserve">V1.5 — Connected Platform</w:t>
            </w:r>
          </w:p>
        </w:tc>
        <w:tc>
          <w:tcPr>
            <w:tcW w:type="dxa" w:w="5100"/>
            <w:vAlign w:val="center"/>
          </w:tcPr>
          <w:p>
            <w:r>
              <w:rPr>
                <w:b w:val="false"/>
                <w:bCs w:val="false"/>
                <w:sz w:val="18"/>
                <w:szCs w:val="18"/>
              </w:rPr>
              <w:t xml:space="preserve">Meta WhatsApp Cloud API, Google integrations, automated Communication + Marketing Engines, production messaging infra.</w:t>
            </w:r>
          </w:p>
        </w:tc>
        <w:tc>
          <w:tcPr>
            <w:tcW w:type="dxa" w:w="2000"/>
            <w:vAlign w:val="center"/>
          </w:tcPr>
          <w:p>
            <w:r>
              <w:rPr>
                <w:b w:val="false"/>
                <w:bCs w:val="false"/>
                <w:sz w:val="18"/>
                <w:szCs w:val="18"/>
              </w:rPr>
              <w:t xml:space="preserve">NOT STARTED — parked behind Phase 1 exit</w:t>
            </w:r>
          </w:p>
        </w:tc>
      </w:tr>
      <w:tr>
        <w:tc>
          <w:tcPr>
            <w:tcW w:type="dxa" w:w="2600"/>
            <w:vAlign w:val="center"/>
          </w:tcPr>
          <w:p>
            <w:r>
              <w:rPr>
                <w:b w:val="false"/>
                <w:bCs w:val="false"/>
                <w:sz w:val="18"/>
                <w:szCs w:val="18"/>
              </w:rPr>
              <w:t xml:space="preserve">V2 — Clinical Cloud</w:t>
            </w:r>
          </w:p>
        </w:tc>
        <w:tc>
          <w:tcPr>
            <w:tcW w:type="dxa" w:w="5100"/>
            <w:vAlign w:val="center"/>
          </w:tcPr>
          <w:p>
            <w:r>
              <w:rPr>
                <w:b w:val="false"/>
                <w:bCs w:val="false"/>
                <w:sz w:val="18"/>
                <w:szCs w:val="18"/>
              </w:rPr>
              <w:t xml:space="preserve">Secure clinical media repository: images, video, documents, future CBCT, watermarking, permissioned access, chairside presentation.</w:t>
            </w:r>
          </w:p>
        </w:tc>
        <w:tc>
          <w:tcPr>
            <w:tcW w:type="dxa" w:w="2000"/>
            <w:vAlign w:val="center"/>
          </w:tcPr>
          <w:p>
            <w:r>
              <w:rPr>
                <w:b w:val="false"/>
                <w:bCs w:val="false"/>
                <w:sz w:val="18"/>
                <w:szCs w:val="18"/>
              </w:rPr>
              <w:t xml:space="preserve">NOT STARTED</w:t>
            </w:r>
          </w:p>
        </w:tc>
      </w:tr>
      <w:tr>
        <w:tc>
          <w:tcPr>
            <w:tcW w:type="dxa" w:w="2600"/>
            <w:vAlign w:val="center"/>
          </w:tcPr>
          <w:p>
            <w:r>
              <w:rPr>
                <w:b w:val="false"/>
                <w:bCs w:val="false"/>
                <w:sz w:val="18"/>
                <w:szCs w:val="18"/>
              </w:rPr>
              <w:t xml:space="preserve">V3 — Dentfluence Copilot</w:t>
            </w:r>
          </w:p>
        </w:tc>
        <w:tc>
          <w:tcPr>
            <w:tcW w:type="dxa" w:w="5100"/>
            <w:vAlign w:val="center"/>
          </w:tcPr>
          <w:p>
            <w:r>
              <w:rPr>
                <w:b w:val="false"/>
                <w:bCs w:val="false"/>
                <w:sz w:val="18"/>
                <w:szCs w:val="18"/>
              </w:rPr>
              <w:t xml:space="preserve">AI as primary interface: natural language, voice, workflow orchestration, clinical assistance, orchestrating existing engines.</w:t>
            </w:r>
          </w:p>
        </w:tc>
        <w:tc>
          <w:tcPr>
            <w:tcW w:type="dxa" w:w="2000"/>
            <w:vAlign w:val="center"/>
          </w:tcPr>
          <w:p>
            <w:r>
              <w:rPr>
                <w:b w:val="false"/>
                <w:bCs w:val="false"/>
                <w:sz w:val="18"/>
                <w:szCs w:val="18"/>
              </w:rPr>
              <w:t xml:space="preserve">NOT STARTED — scaffold already exists, see Section 6</w:t>
            </w:r>
          </w:p>
        </w:tc>
      </w:tr>
      <w:tr>
        <w:tc>
          <w:tcPr>
            <w:tcW w:type="dxa" w:w="2600"/>
            <w:vAlign w:val="center"/>
          </w:tcPr>
          <w:p>
            <w:r>
              <w:rPr>
                <w:b w:val="false"/>
                <w:bCs w:val="false"/>
                <w:sz w:val="18"/>
                <w:szCs w:val="18"/>
              </w:rPr>
              <w:t xml:space="preserve">V4 — AI Practice Secretary</w:t>
            </w:r>
          </w:p>
        </w:tc>
        <w:tc>
          <w:tcPr>
            <w:tcW w:type="dxa" w:w="5100"/>
            <w:vAlign w:val="center"/>
          </w:tcPr>
          <w:p>
            <w:r>
              <w:rPr>
                <w:b w:val="false"/>
                <w:bCs w:val="false"/>
                <w:sz w:val="18"/>
                <w:szCs w:val="18"/>
              </w:rPr>
              <w:t xml:space="preserve">Continuously operating, largely autonomous front-of-house assistant.</w:t>
            </w:r>
          </w:p>
        </w:tc>
        <w:tc>
          <w:tcPr>
            <w:tcW w:type="dxa" w:w="2000"/>
            <w:vAlign w:val="center"/>
          </w:tcPr>
          <w:p>
            <w:r>
              <w:rPr>
                <w:b w:val="false"/>
                <w:bCs w:val="false"/>
                <w:sz w:val="18"/>
                <w:szCs w:val="18"/>
              </w:rPr>
              <w:t xml:space="preserve">NOT STARTED</w:t>
            </w:r>
          </w:p>
        </w:tc>
      </w:tr>
    </w:tbl>
    <w:p>
      <w:pPr>
        <w:spacing w:after="120"/>
      </w:pPr>
      <w:r>
        <w:rPr>
          <w:i/>
          <w:iCs/>
        </w:rPr>
        <w:t xml:space="preserve">Decision Lock (restated, unchanged): no additional major product initiatives, modules, or roadmap changes without explicit CEO approval. Success is measured by disciplined execution of this sequence, not by feature count.</w:t>
      </w:r>
    </w:p>
    <w:p>
      <w:pPr>
        <w:pStyle w:val="Heading2"/>
        <w:spacing w:after="150" w:before="300"/>
      </w:pPr>
      <w:r>
        <w:t xml:space="preserve">Layer 2 — Current Initiative: Patient Journey V1.1 (inside Phase 1)</w:t>
      </w:r>
    </w:p>
    <w:p>
      <w:pPr>
        <w:spacing w:after="120"/>
      </w:pPr>
      <w:r>
        <w:t xml:space="preserve">Operating rule, unchanged and working well: ONE SLICE → STOP → report → CEO approval → next slice. Every slice ends with the smoke suite green. This is the correct model — see Section 5 for why it should not change.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900"/>
      </w:tblGrid>
      <w:tr>
        <w:trPr>
          <w:tblHeader/>
        </w:trPr>
        <w:tc>
          <w:tcPr>
            <w:tcW w:type="dxa" w:w="2600"/>
            <w:shd w:fill="1F3864" w:val="clear"/>
            <w:vAlign w:val="center"/>
          </w:tcPr>
          <w:p>
            <w:r>
              <w:rPr>
                <w:b/>
                <w:bCs/>
                <w:color w:val="FFFFFF"/>
                <w:sz w:val="18"/>
                <w:szCs w:val="18"/>
              </w:rPr>
              <w:t xml:space="preserve">Phase</w:t>
            </w:r>
          </w:p>
        </w:tc>
        <w:tc>
          <w:tcPr>
            <w:tcW w:type="dxa" w:w="5200"/>
            <w:shd w:fill="1F3864" w:val="clear"/>
            <w:vAlign w:val="center"/>
          </w:tcPr>
          <w:p>
            <w:r>
              <w:rPr>
                <w:b/>
                <w:bCs/>
                <w:color w:val="FFFFFF"/>
                <w:sz w:val="18"/>
                <w:szCs w:val="18"/>
              </w:rPr>
              <w:t xml:space="preserve">Objective</w:t>
            </w:r>
          </w:p>
        </w:tc>
        <w:tc>
          <w:tcPr>
            <w:tcW w:type="dxa" w:w="1900"/>
            <w:shd w:fill="1F3864" w:val="clear"/>
            <w:vAlign w:val="center"/>
          </w:tcPr>
          <w:p>
            <w:r>
              <w:rPr>
                <w:b/>
                <w:bCs/>
                <w:color w:val="FFFFFF"/>
                <w:sz w:val="18"/>
                <w:szCs w:val="18"/>
              </w:rPr>
              <w:t xml:space="preserve">Status</w:t>
            </w:r>
          </w:p>
        </w:tc>
      </w:tr>
      <w:tr>
        <w:tc>
          <w:tcPr>
            <w:tcW w:type="dxa" w:w="2600"/>
            <w:vAlign w:val="center"/>
          </w:tcPr>
          <w:p>
            <w:r>
              <w:rPr>
                <w:b w:val="false"/>
                <w:bCs w:val="false"/>
                <w:sz w:val="18"/>
                <w:szCs w:val="18"/>
              </w:rPr>
              <w:t xml:space="preserve">P0 — Foundation &amp; Safety</w:t>
            </w:r>
          </w:p>
        </w:tc>
        <w:tc>
          <w:tcPr>
            <w:tcW w:type="dxa" w:w="5200"/>
            <w:vAlign w:val="center"/>
          </w:tcPr>
          <w:p>
            <w:r>
              <w:rPr>
                <w:b w:val="false"/>
                <w:bCs w:val="false"/>
                <w:sz w:val="18"/>
                <w:szCs w:val="18"/>
              </w:rPr>
              <w:t xml:space="preserve">Committed baseline, production census, broken board instruments fixed.</w:t>
            </w:r>
          </w:p>
        </w:tc>
        <w:tc>
          <w:tcPr>
            <w:tcW w:type="dxa" w:w="1900"/>
            <w:vAlign w:val="center"/>
          </w:tcPr>
          <w:p>
            <w:r>
              <w:rPr>
                <w:b w:val="false"/>
                <w:bCs w:val="false"/>
                <w:sz w:val="18"/>
                <w:szCs w:val="18"/>
              </w:rPr>
              <w:t xml:space="preserve">DONE, deployed, frozen</w:t>
            </w:r>
          </w:p>
        </w:tc>
      </w:tr>
      <w:tr>
        <w:tc>
          <w:tcPr>
            <w:tcW w:type="dxa" w:w="2600"/>
            <w:vAlign w:val="center"/>
          </w:tcPr>
          <w:p>
            <w:r>
              <w:rPr>
                <w:b w:val="false"/>
                <w:bCs w:val="false"/>
                <w:sz w:val="18"/>
                <w:szCs w:val="18"/>
              </w:rPr>
              <w:t xml:space="preserve">P1 — Access Control</w:t>
            </w:r>
          </w:p>
        </w:tc>
        <w:tc>
          <w:tcPr>
            <w:tcW w:type="dxa" w:w="5200"/>
            <w:vAlign w:val="center"/>
          </w:tcPr>
          <w:p>
            <w:r>
              <w:rPr>
                <w:b w:val="false"/>
                <w:bCs w:val="false"/>
                <w:sz w:val="18"/>
                <w:szCs w:val="18"/>
              </w:rPr>
              <w:t xml:space="preserve">Close audited permission holes before new surfaces.</w:t>
            </w:r>
          </w:p>
        </w:tc>
        <w:tc>
          <w:tcPr>
            <w:tcW w:type="dxa" w:w="1900"/>
            <w:vAlign w:val="center"/>
          </w:tcPr>
          <w:p>
            <w:r>
              <w:rPr>
                <w:b w:val="false"/>
                <w:bCs w:val="false"/>
                <w:sz w:val="18"/>
                <w:szCs w:val="18"/>
              </w:rPr>
              <w:t xml:space="preserve">DONE, deployed, tag phase-1-access-control-frozen</w:t>
            </w:r>
          </w:p>
        </w:tc>
      </w:tr>
      <w:tr>
        <w:tc>
          <w:tcPr>
            <w:tcW w:type="dxa" w:w="2600"/>
            <w:vAlign w:val="center"/>
          </w:tcPr>
          <w:p>
            <w:r>
              <w:rPr>
                <w:b w:val="false"/>
                <w:bCs w:val="false"/>
                <w:sz w:val="18"/>
                <w:szCs w:val="18"/>
              </w:rPr>
              <w:t xml:space="preserve">P2 — Clinical Truth</w:t>
            </w:r>
          </w:p>
        </w:tc>
        <w:tc>
          <w:tcPr>
            <w:tcW w:type="dxa" w:w="5200"/>
            <w:vAlign w:val="center"/>
          </w:tcPr>
          <w:p>
            <w:r>
              <w:rPr>
                <w:b w:val="false"/>
                <w:bCs w:val="false"/>
                <w:sz w:val="18"/>
                <w:szCs w:val="18"/>
              </w:rPr>
              <w:t xml:space="preserve">Decisions &amp; progress become stored, evented clinical facts.</w:t>
            </w:r>
          </w:p>
        </w:tc>
        <w:tc>
          <w:tcPr>
            <w:tcW w:type="dxa" w:w="1900"/>
            <w:vAlign w:val="center"/>
          </w:tcPr>
          <w:p>
            <w:r>
              <w:rPr>
                <w:b w:val="false"/>
                <w:bCs w:val="false"/>
                <w:sz w:val="18"/>
                <w:szCs w:val="18"/>
              </w:rPr>
              <w:t xml:space="preserve">IN PROGRESS — 2.1 done, 2.2 done, 2.3 (decisions) complete but unpushed, 2.4 (progress) pushed but not deployed, 2.5 not started</w:t>
            </w:r>
          </w:p>
        </w:tc>
      </w:tr>
      <w:tr>
        <w:tc>
          <w:tcPr>
            <w:tcW w:type="dxa" w:w="2600"/>
            <w:vAlign w:val="center"/>
          </w:tcPr>
          <w:p>
            <w:r>
              <w:rPr>
                <w:b w:val="false"/>
                <w:bCs w:val="false"/>
                <w:sz w:val="18"/>
                <w:szCs w:val="18"/>
              </w:rPr>
              <w:t xml:space="preserve">P3 — Relationship Spine</w:t>
            </w:r>
          </w:p>
        </w:tc>
        <w:tc>
          <w:tcPr>
            <w:tcW w:type="dxa" w:w="5200"/>
            <w:vAlign w:val="center"/>
          </w:tcPr>
          <w:p>
            <w:r>
              <w:rPr>
                <w:b w:val="false"/>
                <w:bCs w:val="false"/>
                <w:sz w:val="18"/>
                <w:szCs w:val="18"/>
              </w:rPr>
              <w:t xml:space="preserve">One work store, one write door, one outcome engine, one history.</w:t>
            </w:r>
          </w:p>
        </w:tc>
        <w:tc>
          <w:tcPr>
            <w:tcW w:type="dxa" w:w="1900"/>
            <w:vAlign w:val="center"/>
          </w:tcPr>
          <w:p>
            <w:r>
              <w:rPr>
                <w:b w:val="false"/>
                <w:bCs w:val="false"/>
                <w:sz w:val="18"/>
                <w:szCs w:val="18"/>
              </w:rPr>
              <w:t xml:space="preserve">NOT STARTED</w:t>
            </w:r>
          </w:p>
        </w:tc>
      </w:tr>
      <w:tr>
        <w:tc>
          <w:tcPr>
            <w:tcW w:type="dxa" w:w="2600"/>
            <w:vAlign w:val="center"/>
          </w:tcPr>
          <w:p>
            <w:r>
              <w:rPr>
                <w:b w:val="false"/>
                <w:bCs w:val="false"/>
                <w:sz w:val="18"/>
                <w:szCs w:val="18"/>
              </w:rPr>
              <w:t xml:space="preserve">P4 — Action Board V2</w:t>
            </w:r>
          </w:p>
        </w:tc>
        <w:tc>
          <w:tcPr>
            <w:tcW w:type="dxa" w:w="5200"/>
            <w:vAlign w:val="center"/>
          </w:tcPr>
          <w:p>
            <w:r>
              <w:rPr>
                <w:b w:val="false"/>
                <w:bCs w:val="false"/>
                <w:sz w:val="18"/>
                <w:szCs w:val="18"/>
              </w:rPr>
              <w:t xml:space="preserve">One operational surface with why/history/owner/lanes.</w:t>
            </w:r>
          </w:p>
        </w:tc>
        <w:tc>
          <w:tcPr>
            <w:tcW w:type="dxa" w:w="1900"/>
            <w:vAlign w:val="center"/>
          </w:tcPr>
          <w:p>
            <w:r>
              <w:rPr>
                <w:b w:val="false"/>
                <w:bCs w:val="false"/>
                <w:sz w:val="18"/>
                <w:szCs w:val="18"/>
              </w:rPr>
              <w:t xml:space="preserve">NOT STARTED</w:t>
            </w:r>
          </w:p>
        </w:tc>
      </w:tr>
      <w:tr>
        <w:tc>
          <w:tcPr>
            <w:tcW w:type="dxa" w:w="2600"/>
            <w:vAlign w:val="center"/>
          </w:tcPr>
          <w:p>
            <w:r>
              <w:rPr>
                <w:b w:val="false"/>
                <w:bCs w:val="false"/>
                <w:sz w:val="18"/>
                <w:szCs w:val="18"/>
              </w:rPr>
              <w:t xml:space="preserve">P5 — Journey Integration</w:t>
            </w:r>
          </w:p>
        </w:tc>
        <w:tc>
          <w:tcPr>
            <w:tcW w:type="dxa" w:w="5200"/>
            <w:vAlign w:val="center"/>
          </w:tcPr>
          <w:p>
            <w:r>
              <w:rPr>
                <w:b w:val="false"/>
                <w:bCs w:val="false"/>
                <w:sz w:val="18"/>
                <w:szCs w:val="18"/>
              </w:rPr>
              <w:t xml:space="preserve">Appointment-spine handoffs, doctor queue, detectors.</w:t>
            </w:r>
          </w:p>
        </w:tc>
        <w:tc>
          <w:tcPr>
            <w:tcW w:type="dxa" w:w="1900"/>
            <w:vAlign w:val="center"/>
          </w:tcPr>
          <w:p>
            <w:r>
              <w:rPr>
                <w:b w:val="false"/>
                <w:bCs w:val="false"/>
                <w:sz w:val="18"/>
                <w:szCs w:val="18"/>
              </w:rPr>
              <w:t xml:space="preserve">NOT STARTED</w:t>
            </w:r>
          </w:p>
        </w:tc>
      </w:tr>
      <w:tr>
        <w:tc>
          <w:tcPr>
            <w:tcW w:type="dxa" w:w="2600"/>
            <w:vAlign w:val="center"/>
          </w:tcPr>
          <w:p>
            <w:r>
              <w:rPr>
                <w:b w:val="false"/>
                <w:bCs w:val="false"/>
                <w:sz w:val="18"/>
                <w:szCs w:val="18"/>
              </w:rPr>
              <w:t xml:space="preserve">P6 — Recall &amp; Recovery</w:t>
            </w:r>
          </w:p>
        </w:tc>
        <w:tc>
          <w:tcPr>
            <w:tcW w:type="dxa" w:w="5200"/>
            <w:vAlign w:val="center"/>
          </w:tcPr>
          <w:p>
            <w:r>
              <w:rPr>
                <w:b w:val="false"/>
                <w:bCs w:val="false"/>
                <w:sz w:val="18"/>
                <w:szCs w:val="18"/>
              </w:rPr>
              <w:t xml:space="preserve">Recall on true attendance with real exclusions.</w:t>
            </w:r>
          </w:p>
        </w:tc>
        <w:tc>
          <w:tcPr>
            <w:tcW w:type="dxa" w:w="1900"/>
            <w:vAlign w:val="center"/>
          </w:tcPr>
          <w:p>
            <w:r>
              <w:rPr>
                <w:b w:val="false"/>
                <w:bCs w:val="false"/>
                <w:sz w:val="18"/>
                <w:szCs w:val="18"/>
              </w:rPr>
              <w:t xml:space="preserve">NOT STARTED</w:t>
            </w:r>
          </w:p>
        </w:tc>
      </w:tr>
      <w:tr>
        <w:tc>
          <w:tcPr>
            <w:tcW w:type="dxa" w:w="2600"/>
            <w:vAlign w:val="center"/>
          </w:tcPr>
          <w:p>
            <w:r>
              <w:rPr>
                <w:b w:val="false"/>
                <w:bCs w:val="false"/>
                <w:sz w:val="18"/>
                <w:szCs w:val="18"/>
              </w:rPr>
              <w:t xml:space="preserve">P7 — Migration &amp; Cutover</w:t>
            </w:r>
          </w:p>
        </w:tc>
        <w:tc>
          <w:tcPr>
            <w:tcW w:type="dxa" w:w="5200"/>
            <w:vAlign w:val="center"/>
          </w:tcPr>
          <w:p>
            <w:r>
              <w:rPr>
                <w:b w:val="false"/>
                <w:bCs w:val="false"/>
                <w:sz w:val="18"/>
                <w:szCs w:val="18"/>
              </w:rPr>
              <w:t xml:space="preserve">Controlled live-data conversion + staff cutover.</w:t>
            </w:r>
          </w:p>
        </w:tc>
        <w:tc>
          <w:tcPr>
            <w:tcW w:type="dxa" w:w="1900"/>
            <w:vAlign w:val="center"/>
          </w:tcPr>
          <w:p>
            <w:r>
              <w:rPr>
                <w:b w:val="false"/>
                <w:bCs w:val="false"/>
                <w:sz w:val="18"/>
                <w:szCs w:val="18"/>
              </w:rPr>
              <w:t xml:space="preserve">NOT STARTED</w:t>
            </w:r>
          </w:p>
        </w:tc>
      </w:tr>
      <w:tr>
        <w:tc>
          <w:tcPr>
            <w:tcW w:type="dxa" w:w="2600"/>
            <w:vAlign w:val="center"/>
          </w:tcPr>
          <w:p>
            <w:r>
              <w:rPr>
                <w:b w:val="false"/>
                <w:bCs w:val="false"/>
                <w:sz w:val="18"/>
                <w:szCs w:val="18"/>
              </w:rPr>
              <w:t xml:space="preserve">P8 — Stabilisation &amp; Retirement</w:t>
            </w:r>
          </w:p>
        </w:tc>
        <w:tc>
          <w:tcPr>
            <w:tcW w:type="dxa" w:w="5200"/>
            <w:vAlign w:val="center"/>
          </w:tcPr>
          <w:p>
            <w:r>
              <w:rPr>
                <w:b w:val="false"/>
                <w:bCs w:val="false"/>
                <w:sz w:val="18"/>
                <w:szCs w:val="18"/>
              </w:rPr>
              <w:t xml:space="preserve">Retire legacy paths, final audit, freeze V1.1.</w:t>
            </w:r>
          </w:p>
        </w:tc>
        <w:tc>
          <w:tcPr>
            <w:tcW w:type="dxa" w:w="1900"/>
            <w:vAlign w:val="center"/>
          </w:tcPr>
          <w:p>
            <w:r>
              <w:rPr>
                <w:b w:val="false"/>
                <w:bCs w:val="false"/>
                <w:sz w:val="18"/>
                <w:szCs w:val="18"/>
              </w:rPr>
              <w:t xml:space="preserve">NOT STARTED</w:t>
            </w:r>
          </w:p>
        </w:tc>
      </w:tr>
    </w:tbl>
    <w:p>
      <w:pPr>
        <w:spacing w:after="120"/>
      </w:pPr>
      <w:r>
        <w:rPr>
          <w:i/>
          <w:iCs/>
        </w:rPr>
        <w:t xml:space="preserve">Immediate sequence per the approved plan: close 2.2 retest → 2.3 push/deploy/freeze → 2.4 deploy/freeze (data-readiness gate first, see Section 7) → 2.5 report-only comparison → decide whether ConsultationService slots in before or after the Phase 2 freeze gate.</w:t>
      </w:r>
    </w:p>
    <w:p>
      <w:pPr>
        <w:pStyle w:val="Heading2"/>
        <w:spacing w:after="150" w:before="300"/>
      </w:pPr>
      <w:r>
        <w:t xml:space="preserve">Layer 3 — Completed Historical Build (background context only)</w:t>
      </w:r>
    </w:p>
    <w:p>
      <w:pPr>
        <w:spacing w:after="120"/>
      </w:pPr>
      <w:r>
        <w:t xml:space="preserve">A separate, already-executed "Phase 0-8" sequence built the PRE/Communication engine stack between roughly April and July 2026: event bus, PRE core, Automation Engine, Communication Engine (guard.consent_required live in prod), Workflow Engine (dormant, flags off), Read/Insights (dormant), Integration connectors (WhatsApp live, Google/Meta/Website deferred to V1.5), and PRM retirement (hard-deleted). This numbering is historical and complete — it must never be confused with Patient Journey V1.1's own P0-P8 numbering above. Renaming one of the two sequences in the source docs is a worthwhile future cleanup but out of scope for this freeze.</w:t>
      </w:r>
    </w:p>
    <w:p>
      <w:pPr>
        <w:pStyle w:val="Heading2"/>
        <w:spacing w:after="150" w:before="300"/>
      </w:pPr>
      <w:r>
        <w:t xml:space="preserve">Patient Journey organization method — recommendation (Task 5)</w:t>
      </w:r>
    </w:p>
    <w:p>
      <w:pPr>
        <w:spacing w:after="120"/>
      </w:pPr>
      <w:r>
        <w:t xml:space="preserve">Two ways to organize this work were possible: (A) workflow slices — small, sequential, testable units of behavior across the whole system, each CEO-gated before the next begins; or (B) patient modules/tabs — organize by screen/feature area (the Patients tab, the Appointments tab, etc.) and build each out fully.</w:t>
      </w:r>
    </w:p>
    <w:p>
      <w:pPr>
        <w:spacing w:after="120"/>
      </w:pPr>
      <w:r>
        <w:rPr>
          <w:b/>
          <w:bCs/>
        </w:rPr>
        <w:t xml:space="preserve">Recommendation: keep (A), workflow slices. Do not switch to (B).</w:t>
      </w:r>
      <w:r>
        <w:t xml:space="preserve"> The evidence is already in hand, not hypothetical: the module/tab approach is what produced the current monolith risk — patients/show.blade.php alone is ~3,674 lines of mixed Alpine scope, and it is explicitly flagged in three separate memory and audit files as fragile to edit. The slice approach, by contrast, has already shipped two frozen, production-verified phases (P0, P1) with zero rollback and a CEO retest catching four real permission defects before they reached production. Slices force one clinical fact to have one writer and one door — which is the actual precondition for the AI-readiness axis on the module scoreboard (Section 5) — where module-first work tends to duplicate logic per screen. The cost of slices — more coordination overhead, slower visible progress per calendar week — is the correct trade for a system this interconnected. Recommend continuing exactly as planned.</w:t>
      </w:r>
    </w:p>
    <w:p>
      <w:r>
        <w:br w:type="page"/>
      </w:r>
    </w:p>
    <w:p>
      <w:pPr>
        <w:pStyle w:val="Heading1"/>
        <w:spacing w:after="200" w:before="400"/>
      </w:pPr>
      <w:r>
        <w:t xml:space="preserve">4. Master Timeline</w:t>
      </w:r>
    </w:p>
    <w:p>
      <w:pPr>
        <w:spacing w:after="120"/>
      </w:pPr>
      <w:r>
        <w:t xml:space="preserve">Compressed timeline of load-bearing dates. Full detail lives in the individual phase/slice documents (now Reference-tier, Section 9) — this is the spine.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rPr>
          <w:tblHeader/>
        </w:trPr>
        <w:tc>
          <w:tcPr>
            <w:tcW w:type="dxa" w:w="1800"/>
            <w:shd w:fill="1F3864" w:val="clear"/>
            <w:vAlign w:val="center"/>
          </w:tcPr>
          <w:p>
            <w:r>
              <w:rPr>
                <w:b/>
                <w:bCs/>
                <w:color w:val="FFFFFF"/>
                <w:sz w:val="18"/>
                <w:szCs w:val="18"/>
              </w:rPr>
              <w:t xml:space="preserve">Date</w:t>
            </w:r>
          </w:p>
        </w:tc>
        <w:tc>
          <w:tcPr>
            <w:tcW w:type="dxa" w:w="7900"/>
            <w:shd w:fill="1F3864" w:val="clear"/>
            <w:vAlign w:val="center"/>
          </w:tcPr>
          <w:p>
            <w:r>
              <w:rPr>
                <w:b/>
                <w:bCs/>
                <w:color w:val="FFFFFF"/>
                <w:sz w:val="18"/>
                <w:szCs w:val="18"/>
              </w:rPr>
              <w:t xml:space="preserve">Milestone</w:t>
            </w:r>
          </w:p>
        </w:tc>
      </w:tr>
      <w:tr>
        <w:tc>
          <w:tcPr>
            <w:tcW w:type="dxa" w:w="1800"/>
            <w:vAlign w:val="center"/>
          </w:tcPr>
          <w:p>
            <w:r>
              <w:rPr>
                <w:b w:val="false"/>
                <w:bCs w:val="false"/>
                <w:sz w:val="18"/>
                <w:szCs w:val="18"/>
              </w:rPr>
              <w:t xml:space="preserve">2026-06-18</w:t>
            </w:r>
          </w:p>
        </w:tc>
        <w:tc>
          <w:tcPr>
            <w:tcW w:type="dxa" w:w="7900"/>
            <w:vAlign w:val="center"/>
          </w:tcPr>
          <w:p>
            <w:r>
              <w:rPr>
                <w:b w:val="false"/>
                <w:bCs w:val="false"/>
                <w:sz w:val="18"/>
                <w:szCs w:val="18"/>
              </w:rPr>
              <w:t xml:space="preserve">Original architecture lock (later superseded 2026-07-03 by ENGINEER_HANDOVER.md)</w:t>
            </w:r>
          </w:p>
        </w:tc>
      </w:tr>
      <w:tr>
        <w:tc>
          <w:tcPr>
            <w:tcW w:type="dxa" w:w="1800"/>
            <w:vAlign w:val="center"/>
          </w:tcPr>
          <w:p>
            <w:r>
              <w:rPr>
                <w:b w:val="false"/>
                <w:bCs w:val="false"/>
                <w:sz w:val="18"/>
                <w:szCs w:val="18"/>
              </w:rPr>
              <w:t xml:space="preserve">2026-06-27</w:t>
            </w:r>
          </w:p>
        </w:tc>
        <w:tc>
          <w:tcPr>
            <w:tcW w:type="dxa" w:w="7900"/>
            <w:vAlign w:val="center"/>
          </w:tcPr>
          <w:p>
            <w:r>
              <w:rPr>
                <w:b w:val="false"/>
                <w:bCs w:val="false"/>
                <w:sz w:val="18"/>
                <w:szCs w:val="18"/>
              </w:rPr>
              <w:t xml:space="preserve">PROGRESS_STATUS snapshot (~70% complete); DENTFLUENCE_MASTER brief written</w:t>
            </w:r>
          </w:p>
        </w:tc>
      </w:tr>
      <w:tr>
        <w:tc>
          <w:tcPr>
            <w:tcW w:type="dxa" w:w="1800"/>
            <w:vAlign w:val="center"/>
          </w:tcPr>
          <w:p>
            <w:r>
              <w:rPr>
                <w:b w:val="false"/>
                <w:bCs w:val="false"/>
                <w:sz w:val="18"/>
                <w:szCs w:val="18"/>
              </w:rPr>
              <w:t xml:space="preserve">2026-06-28</w:t>
            </w:r>
          </w:p>
        </w:tc>
        <w:tc>
          <w:tcPr>
            <w:tcW w:type="dxa" w:w="7900"/>
            <w:vAlign w:val="center"/>
          </w:tcPr>
          <w:p>
            <w:r>
              <w:rPr>
                <w:b w:val="false"/>
                <w:bCs w:val="false"/>
                <w:sz w:val="18"/>
                <w:szCs w:val="18"/>
              </w:rPr>
              <w:t xml:space="preserve">Last full automated test run: 13/14 suites green</w:t>
            </w:r>
          </w:p>
        </w:tc>
      </w:tr>
      <w:tr>
        <w:tc>
          <w:tcPr>
            <w:tcW w:type="dxa" w:w="1800"/>
            <w:vAlign w:val="center"/>
          </w:tcPr>
          <w:p>
            <w:r>
              <w:rPr>
                <w:b w:val="false"/>
                <w:bCs w:val="false"/>
                <w:sz w:val="18"/>
                <w:szCs w:val="18"/>
              </w:rPr>
              <w:t xml:space="preserve">2026-07-04</w:t>
            </w:r>
          </w:p>
        </w:tc>
        <w:tc>
          <w:tcPr>
            <w:tcW w:type="dxa" w:w="7900"/>
            <w:vAlign w:val="center"/>
          </w:tcPr>
          <w:p>
            <w:r>
              <w:rPr>
                <w:b w:val="false"/>
                <w:bCs w:val="false"/>
                <w:sz w:val="18"/>
                <w:szCs w:val="18"/>
              </w:rPr>
              <w:t xml:space="preserve">identity.link_patient flag ON; PRM hard-deleted (Phase 8 retirement)</w:t>
            </w:r>
          </w:p>
        </w:tc>
      </w:tr>
      <w:tr>
        <w:tc>
          <w:tcPr>
            <w:tcW w:type="dxa" w:w="1800"/>
            <w:vAlign w:val="center"/>
          </w:tcPr>
          <w:p>
            <w:r>
              <w:rPr>
                <w:b w:val="false"/>
                <w:bCs w:val="false"/>
                <w:sz w:val="18"/>
                <w:szCs w:val="18"/>
              </w:rPr>
              <w:t xml:space="preserve">2026-07-14</w:t>
            </w:r>
          </w:p>
        </w:tc>
        <w:tc>
          <w:tcPr>
            <w:tcW w:type="dxa" w:w="7900"/>
            <w:vAlign w:val="center"/>
          </w:tcPr>
          <w:p>
            <w:r>
              <w:rPr>
                <w:b w:val="false"/>
                <w:bCs w:val="false"/>
                <w:sz w:val="18"/>
                <w:szCs w:val="18"/>
              </w:rPr>
              <w:t xml:space="preserve">Production Hardening Sprint (critical/high fixes) + Web/Mobile Parity Audit — both flagged code-complete but UNTESTED beyond route-crawl</w:t>
            </w:r>
          </w:p>
        </w:tc>
      </w:tr>
      <w:tr>
        <w:tc>
          <w:tcPr>
            <w:tcW w:type="dxa" w:w="1800"/>
            <w:vAlign w:val="center"/>
          </w:tcPr>
          <w:p>
            <w:r>
              <w:rPr>
                <w:b w:val="false"/>
                <w:bCs w:val="false"/>
                <w:sz w:val="18"/>
                <w:szCs w:val="18"/>
              </w:rPr>
              <w:t xml:space="preserve">2026-07-15</w:t>
            </w:r>
          </w:p>
        </w:tc>
        <w:tc>
          <w:tcPr>
            <w:tcW w:type="dxa" w:w="7900"/>
            <w:vAlign w:val="center"/>
          </w:tcPr>
          <w:p>
            <w:r>
              <w:rPr>
                <w:b w:val="false"/>
                <w:bCs w:val="false"/>
                <w:sz w:val="18"/>
                <w:szCs w:val="18"/>
              </w:rPr>
              <w:t xml:space="preserve">Case Acceptance Engine architecture FROZEN (supersedes Smart Presentation — unresolved retirement, see Section 9 contradictions)</w:t>
            </w:r>
          </w:p>
        </w:tc>
      </w:tr>
      <w:tr>
        <w:tc>
          <w:tcPr>
            <w:tcW w:type="dxa" w:w="1800"/>
            <w:vAlign w:val="center"/>
          </w:tcPr>
          <w:p>
            <w:r>
              <w:rPr>
                <w:b w:val="false"/>
                <w:bCs w:val="false"/>
                <w:sz w:val="18"/>
                <w:szCs w:val="18"/>
              </w:rPr>
              <w:t xml:space="preserve">2026-07-18</w:t>
            </w:r>
          </w:p>
        </w:tc>
        <w:tc>
          <w:tcPr>
            <w:tcW w:type="dxa" w:w="7900"/>
            <w:vAlign w:val="center"/>
          </w:tcPr>
          <w:p>
            <w:r>
              <w:rPr>
                <w:b w:val="false"/>
                <w:bCs w:val="false"/>
                <w:sz w:val="18"/>
                <w:szCs w:val="18"/>
              </w:rPr>
              <w:t xml:space="preserve">Product Audit Dashboard: 26 modules scored; Inventory GRN transaction fix verified</w:t>
            </w:r>
          </w:p>
        </w:tc>
      </w:tr>
      <w:tr>
        <w:tc>
          <w:tcPr>
            <w:tcW w:type="dxa" w:w="1800"/>
            <w:vAlign w:val="center"/>
          </w:tcPr>
          <w:p>
            <w:r>
              <w:rPr>
                <w:b w:val="false"/>
                <w:bCs w:val="false"/>
                <w:sz w:val="18"/>
                <w:szCs w:val="18"/>
              </w:rPr>
              <w:t xml:space="preserve">2026-07-19</w:t>
            </w:r>
          </w:p>
        </w:tc>
        <w:tc>
          <w:tcPr>
            <w:tcW w:type="dxa" w:w="7900"/>
            <w:vAlign w:val="center"/>
          </w:tcPr>
          <w:p>
            <w:r>
              <w:rPr>
                <w:b w:val="false"/>
                <w:bCs w:val="false"/>
                <w:sz w:val="18"/>
                <w:szCs w:val="18"/>
              </w:rPr>
              <w:t xml:space="preserve">CEO Directive #003 locked; AI Architecture Assessment finds the AI/Tulip layer already built and live on every page</w:t>
            </w:r>
          </w:p>
        </w:tc>
      </w:tr>
      <w:tr>
        <w:tc>
          <w:tcPr>
            <w:tcW w:type="dxa" w:w="1800"/>
            <w:vAlign w:val="center"/>
          </w:tcPr>
          <w:p>
            <w:r>
              <w:rPr>
                <w:b w:val="false"/>
                <w:bCs w:val="false"/>
                <w:sz w:val="18"/>
                <w:szCs w:val="18"/>
              </w:rPr>
              <w:t xml:space="preserve">2026-07-24</w:t>
            </w:r>
          </w:p>
        </w:tc>
        <w:tc>
          <w:tcPr>
            <w:tcW w:type="dxa" w:w="7900"/>
            <w:vAlign w:val="center"/>
          </w:tcPr>
          <w:p>
            <w:r>
              <w:rPr>
                <w:b w:val="false"/>
                <w:bCs w:val="false"/>
                <w:sz w:val="18"/>
                <w:szCs w:val="18"/>
              </w:rPr>
              <w:t xml:space="preserve">Appointments module corrective plan (Slices 1-12) complete and FROZEN; Smoke Suite built (66/66)</w:t>
            </w:r>
          </w:p>
        </w:tc>
      </w:tr>
      <w:tr>
        <w:tc>
          <w:tcPr>
            <w:tcW w:type="dxa" w:w="1800"/>
            <w:vAlign w:val="center"/>
          </w:tcPr>
          <w:p>
            <w:r>
              <w:rPr>
                <w:b w:val="false"/>
                <w:bCs w:val="false"/>
                <w:sz w:val="18"/>
                <w:szCs w:val="18"/>
              </w:rPr>
              <w:t xml:space="preserve">2026-07-25</w:t>
            </w:r>
          </w:p>
        </w:tc>
        <w:tc>
          <w:tcPr>
            <w:tcW w:type="dxa" w:w="7900"/>
            <w:vAlign w:val="center"/>
          </w:tcPr>
          <w:p>
            <w:r>
              <w:rPr>
                <w:b w:val="false"/>
                <w:bCs w:val="false"/>
                <w:sz w:val="18"/>
                <w:szCs w:val="18"/>
              </w:rPr>
              <w:t xml:space="preserve">Patient Journey V1.1 P0 (Foundation) frozen and deployed; PRE Engine Audit finds the 1,810-item recall backlog root cause</w:t>
            </w:r>
          </w:p>
        </w:tc>
      </w:tr>
      <w:tr>
        <w:tc>
          <w:tcPr>
            <w:tcW w:type="dxa" w:w="1800"/>
            <w:vAlign w:val="center"/>
          </w:tcPr>
          <w:p>
            <w:r>
              <w:rPr>
                <w:b w:val="false"/>
                <w:bCs w:val="false"/>
                <w:sz w:val="18"/>
                <w:szCs w:val="18"/>
              </w:rPr>
              <w:t xml:space="preserve">2026-07-26</w:t>
            </w:r>
          </w:p>
        </w:tc>
        <w:tc>
          <w:tcPr>
            <w:tcW w:type="dxa" w:w="7900"/>
            <w:vAlign w:val="center"/>
          </w:tcPr>
          <w:p>
            <w:r>
              <w:rPr>
                <w:b w:val="false"/>
                <w:bCs w:val="false"/>
                <w:sz w:val="18"/>
                <w:szCs w:val="18"/>
              </w:rPr>
              <w:t xml:space="preserve">Patient Journey V1.1 P1 (Access Control) frozen and deployed to prod; Gate B (Clinical Truth semantics) signed</w:t>
            </w:r>
          </w:p>
        </w:tc>
      </w:tr>
      <w:tr>
        <w:tc>
          <w:tcPr>
            <w:tcW w:type="dxa" w:w="1800"/>
            <w:vAlign w:val="center"/>
          </w:tcPr>
          <w:p>
            <w:r>
              <w:rPr>
                <w:b w:val="false"/>
                <w:bCs w:val="false"/>
                <w:sz w:val="18"/>
                <w:szCs w:val="18"/>
              </w:rPr>
              <w:t xml:space="preserve">2026-07-27</w:t>
            </w:r>
          </w:p>
        </w:tc>
        <w:tc>
          <w:tcPr>
            <w:tcW w:type="dxa" w:w="7900"/>
            <w:vAlign w:val="center"/>
          </w:tcPr>
          <w:p>
            <w:r>
              <w:rPr>
                <w:b w:val="false"/>
                <w:bCs w:val="false"/>
                <w:sz w:val="18"/>
                <w:szCs w:val="18"/>
              </w:rPr>
              <w:t xml:space="preserve">Slice 2.2 (Plan Presentation) code-complete locally; FROZEN Integration Contract (Plan-PRE-Microsite-Appointment) signed; PPX future phase logged</w:t>
            </w:r>
          </w:p>
        </w:tc>
      </w:tr>
      <w:tr>
        <w:tc>
          <w:tcPr>
            <w:tcW w:type="dxa" w:w="1800"/>
            <w:vAlign w:val="center"/>
          </w:tcPr>
          <w:p>
            <w:r>
              <w:rPr>
                <w:b w:val="false"/>
                <w:bCs w:val="false"/>
                <w:sz w:val="18"/>
                <w:szCs w:val="18"/>
              </w:rPr>
              <w:t xml:space="preserve">2026-07-30 (today)</w:t>
            </w:r>
          </w:p>
        </w:tc>
        <w:tc>
          <w:tcPr>
            <w:tcW w:type="dxa" w:w="7900"/>
            <w:vAlign w:val="center"/>
          </w:tcPr>
          <w:p>
            <w:r>
              <w:rPr>
                <w:b w:val="false"/>
                <w:bCs w:val="false"/>
                <w:sz w:val="18"/>
                <w:szCs w:val="18"/>
              </w:rPr>
              <w:t xml:space="preserve">Slice 2.4 (Clinical Progress, 2.4a-2.4e) pushed but NOT deployed — 8 commits ahead of origin/main on this slice; production has zero work_outcome rows (adoption gate open)</w:t>
            </w:r>
          </w:p>
        </w:tc>
      </w:tr>
    </w:tbl>
    <w:p>
      <w:pPr>
        <w:pStyle w:val="Heading3"/>
        <w:spacing w:after="100" w:before="200"/>
      </w:pPr>
      <w:r>
        <w:t xml:space="preserve">Near-term milestones (not yet dated — CEO to confirm cadence)</w:t>
      </w:r>
    </w:p>
    <w:p>
      <w:pPr>
        <w:pStyle w:val="ListParagraph"/>
        <w:numPr>
          <w:ilvl w:val="0"/>
          <w:numId w:val="1"/>
        </w:numPr>
        <w:spacing w:after="60"/>
      </w:pPr>
      <w:r>
        <w:t xml:space="preserve">Push + deploy + freeze Slice 2.3 (Decisions) — currently 5 commits local-only.</w:t>
      </w:r>
    </w:p>
    <w:p>
      <w:pPr>
        <w:pStyle w:val="ListParagraph"/>
        <w:numPr>
          <w:ilvl w:val="0"/>
          <w:numId w:val="1"/>
        </w:numPr>
        <w:spacing w:after="60"/>
      </w:pPr>
      <w:r>
        <w:t xml:space="preserve">Deploy + freeze Slice 2.4 (Clinical Progress) — blocked on data-readiness (zero work_outcome rows in prod).</w:t>
      </w:r>
    </w:p>
    <w:p>
      <w:pPr>
        <w:pStyle w:val="ListParagraph"/>
        <w:numPr>
          <w:ilvl w:val="0"/>
          <w:numId w:val="1"/>
        </w:numPr>
        <w:spacing w:after="60"/>
      </w:pPr>
      <w:r>
        <w:t xml:space="preserve">Test the entire 2026-07-14 Hardening Sprint against real data — this is the single highest-stakes untested code in the app.</w:t>
      </w:r>
    </w:p>
    <w:p>
      <w:pPr>
        <w:pStyle w:val="ListParagraph"/>
        <w:numPr>
          <w:ilvl w:val="0"/>
          <w:numId w:val="1"/>
        </w:numPr>
        <w:spacing w:after="60"/>
      </w:pPr>
      <w:r>
        <w:t xml:space="preserve">Commit + deploy the WhatsApp Click-to-Chat engine — finished locally, stranded, uncommitted.</w:t>
      </w:r>
    </w:p>
    <w:p>
      <w:r>
        <w:br w:type="page"/>
      </w:r>
    </w:p>
    <w:p>
      <w:pPr>
        <w:pStyle w:val="Heading1"/>
        <w:spacing w:after="200" w:before="400"/>
      </w:pPr>
      <w:r>
        <w:t xml:space="preserve">5. Module Completion Checklist</w:t>
      </w:r>
    </w:p>
    <w:p>
      <w:pPr>
        <w:spacing w:after="120"/>
      </w:pPr>
      <w:r>
        <w:t xml:space="preserve">From the Product Audit Dashboard (2026-07-18), scored 0-10 on Stability / Completeness / Polish / AI-Readiness. This is the single scoreboard — no other module-scoring document should be maintained in parallel.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000"/>
        <w:gridCol w:w="1500"/>
      </w:tblGrid>
      <w:tr>
        <w:trPr>
          <w:tblHeader/>
        </w:trPr>
        <w:tc>
          <w:tcPr>
            <w:tcW w:type="dxa" w:w="3200"/>
            <w:shd w:fill="1F3864" w:val="clear"/>
            <w:vAlign w:val="center"/>
          </w:tcPr>
          <w:p>
            <w:r>
              <w:rPr>
                <w:b/>
                <w:bCs/>
                <w:color w:val="FFFFFF"/>
                <w:sz w:val="18"/>
                <w:szCs w:val="18"/>
              </w:rPr>
              <w:t xml:space="preserve">Module</w:t>
            </w:r>
          </w:p>
        </w:tc>
        <w:tc>
          <w:tcPr>
            <w:tcW w:type="dxa" w:w="1000"/>
            <w:shd w:fill="1F3864" w:val="clear"/>
            <w:vAlign w:val="center"/>
          </w:tcPr>
          <w:p>
            <w:r>
              <w:rPr>
                <w:b/>
                <w:bCs/>
                <w:color w:val="FFFFFF"/>
                <w:sz w:val="18"/>
                <w:szCs w:val="18"/>
              </w:rPr>
              <w:t xml:space="preserve">Stab</w:t>
            </w:r>
          </w:p>
        </w:tc>
        <w:tc>
          <w:tcPr>
            <w:tcW w:type="dxa" w:w="1000"/>
            <w:shd w:fill="1F3864" w:val="clear"/>
            <w:vAlign w:val="center"/>
          </w:tcPr>
          <w:p>
            <w:r>
              <w:rPr>
                <w:b/>
                <w:bCs/>
                <w:color w:val="FFFFFF"/>
                <w:sz w:val="18"/>
                <w:szCs w:val="18"/>
              </w:rPr>
              <w:t xml:space="preserve">Compl</w:t>
            </w:r>
          </w:p>
        </w:tc>
        <w:tc>
          <w:tcPr>
            <w:tcW w:type="dxa" w:w="1000"/>
            <w:shd w:fill="1F3864" w:val="clear"/>
            <w:vAlign w:val="center"/>
          </w:tcPr>
          <w:p>
            <w:r>
              <w:rPr>
                <w:b/>
                <w:bCs/>
                <w:color w:val="FFFFFF"/>
                <w:sz w:val="18"/>
                <w:szCs w:val="18"/>
              </w:rPr>
              <w:t xml:space="preserve">Polish</w:t>
            </w:r>
          </w:p>
        </w:tc>
        <w:tc>
          <w:tcPr>
            <w:tcW w:type="dxa" w:w="1000"/>
            <w:shd w:fill="1F3864" w:val="clear"/>
            <w:vAlign w:val="center"/>
          </w:tcPr>
          <w:p>
            <w:r>
              <w:rPr>
                <w:b/>
                <w:bCs/>
                <w:color w:val="FFFFFF"/>
                <w:sz w:val="18"/>
                <w:szCs w:val="18"/>
              </w:rPr>
              <w:t xml:space="preserve">AI-Rdy</w:t>
            </w:r>
          </w:p>
        </w:tc>
        <w:tc>
          <w:tcPr>
            <w:tcW w:type="dxa" w:w="1500"/>
            <w:shd w:fill="1F3864" w:val="clear"/>
            <w:vAlign w:val="center"/>
          </w:tcPr>
          <w:p>
            <w:r>
              <w:rPr>
                <w:b/>
                <w:bCs/>
                <w:color w:val="FFFFFF"/>
                <w:sz w:val="18"/>
                <w:szCs w:val="18"/>
              </w:rPr>
              <w:t xml:space="preserve">Overall</w:t>
            </w:r>
          </w:p>
        </w:tc>
      </w:tr>
      <w:tr>
        <w:tc>
          <w:tcPr>
            <w:tcW w:type="dxa" w:w="3200"/>
            <w:vAlign w:val="center"/>
          </w:tcPr>
          <w:p>
            <w:r>
              <w:rPr>
                <w:b w:val="false"/>
                <w:bCs w:val="false"/>
                <w:sz w:val="18"/>
                <w:szCs w:val="18"/>
              </w:rPr>
              <w:t xml:space="preserve">Treatment Visits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9</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9</w:t>
            </w:r>
          </w:p>
        </w:tc>
        <w:tc>
          <w:tcPr>
            <w:tcW w:type="dxa" w:w="1500"/>
            <w:vAlign w:val="center"/>
          </w:tcPr>
          <w:p>
            <w:r>
              <w:rPr>
                <w:b w:val="false"/>
                <w:bCs w:val="false"/>
                <w:sz w:val="18"/>
                <w:szCs w:val="18"/>
              </w:rPr>
              <w:t xml:space="preserve">8</w:t>
            </w:r>
          </w:p>
        </w:tc>
      </w:tr>
      <w:tr>
        <w:tc>
          <w:tcPr>
            <w:tcW w:type="dxa" w:w="3200"/>
            <w:vAlign w:val="center"/>
          </w:tcPr>
          <w:p>
            <w:r>
              <w:rPr>
                <w:b w:val="false"/>
                <w:bCs w:val="false"/>
                <w:sz w:val="18"/>
                <w:szCs w:val="18"/>
              </w:rPr>
              <w:t xml:space="preserve">Inventory — CLOSED</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9</w:t>
            </w:r>
          </w:p>
        </w:tc>
        <w:tc>
          <w:tcPr>
            <w:tcW w:type="dxa" w:w="1000"/>
            <w:vAlign w:val="center"/>
          </w:tcPr>
          <w:p>
            <w:r>
              <w:rPr>
                <w:b w:val="false"/>
                <w:bCs w:val="false"/>
                <w:sz w:val="18"/>
                <w:szCs w:val="18"/>
              </w:rPr>
              <w:t xml:space="preserve">9</w:t>
            </w:r>
          </w:p>
        </w:tc>
        <w:tc>
          <w:tcPr>
            <w:tcW w:type="dxa" w:w="1000"/>
            <w:vAlign w:val="center"/>
          </w:tcPr>
          <w:p>
            <w:r>
              <w:rPr>
                <w:b w:val="false"/>
                <w:bCs w:val="false"/>
                <w:sz w:val="18"/>
                <w:szCs w:val="18"/>
              </w:rPr>
              <w:t xml:space="preserve">6</w:t>
            </w:r>
          </w:p>
        </w:tc>
        <w:tc>
          <w:tcPr>
            <w:tcW w:type="dxa" w:w="1500"/>
            <w:vAlign w:val="center"/>
          </w:tcPr>
          <w:p>
            <w:r>
              <w:rPr>
                <w:b w:val="false"/>
                <w:bCs w:val="false"/>
                <w:sz w:val="18"/>
                <w:szCs w:val="18"/>
              </w:rPr>
              <w:t xml:space="preserve">8</w:t>
            </w:r>
          </w:p>
        </w:tc>
      </w:tr>
      <w:tr>
        <w:tc>
          <w:tcPr>
            <w:tcW w:type="dxa" w:w="3200"/>
            <w:vAlign w:val="center"/>
          </w:tcPr>
          <w:p>
            <w:r>
              <w:rPr>
                <w:b w:val="false"/>
                <w:bCs w:val="false"/>
                <w:sz w:val="18"/>
                <w:szCs w:val="18"/>
              </w:rPr>
              <w:t xml:space="preserve">Appointments — FROZEN</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9</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4</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Patients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5</w:t>
            </w:r>
          </w:p>
        </w:tc>
        <w:tc>
          <w:tcPr>
            <w:tcW w:type="dxa" w:w="1000"/>
            <w:vAlign w:val="center"/>
          </w:tcPr>
          <w:p>
            <w:r>
              <w:rPr>
                <w:b w:val="false"/>
                <w:bCs w:val="false"/>
                <w:sz w:val="18"/>
                <w:szCs w:val="18"/>
              </w:rPr>
              <w:t xml:space="preserve">8</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Prescriptions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9</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5</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Clinical Library</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6</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Relationships / PRE (Action Board)</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6</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Wallet / Finance</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Procurement (PO-GRN-AP)</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6</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Memberships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6</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Blog Marketing Hub</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2</w:t>
            </w:r>
          </w:p>
        </w:tc>
        <w:tc>
          <w:tcPr>
            <w:tcW w:type="dxa" w:w="1500"/>
            <w:vAlign w:val="center"/>
          </w:tcPr>
          <w:p>
            <w:r>
              <w:rPr>
                <w:b w:val="false"/>
                <w:bCs w:val="false"/>
                <w:sz w:val="18"/>
                <w:szCs w:val="18"/>
              </w:rPr>
              <w:t xml:space="preserve">7</w:t>
            </w:r>
          </w:p>
        </w:tc>
      </w:tr>
      <w:tr>
        <w:tc>
          <w:tcPr>
            <w:tcW w:type="dxa" w:w="3200"/>
            <w:vAlign w:val="center"/>
          </w:tcPr>
          <w:p>
            <w:r>
              <w:rPr>
                <w:b w:val="false"/>
                <w:bCs w:val="false"/>
                <w:sz w:val="18"/>
                <w:szCs w:val="18"/>
              </w:rPr>
              <w:t xml:space="preserve">HR / Roles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4</w:t>
            </w:r>
          </w:p>
        </w:tc>
        <w:tc>
          <w:tcPr>
            <w:tcW w:type="dxa" w:w="1500"/>
            <w:vAlign w:val="center"/>
          </w:tcPr>
          <w:p>
            <w:r>
              <w:rPr>
                <w:b w:val="false"/>
                <w:bCs w:val="false"/>
                <w:sz w:val="18"/>
                <w:szCs w:val="18"/>
              </w:rPr>
              <w:t xml:space="preserve">6.5</w:t>
            </w:r>
          </w:p>
        </w:tc>
      </w:tr>
      <w:tr>
        <w:tc>
          <w:tcPr>
            <w:tcW w:type="dxa" w:w="3200"/>
            <w:vAlign w:val="center"/>
          </w:tcPr>
          <w:p>
            <w:r>
              <w:rPr>
                <w:b w:val="false"/>
                <w:bCs w:val="false"/>
                <w:sz w:val="18"/>
                <w:szCs w:val="18"/>
              </w:rPr>
              <w:t xml:space="preserve">Consultations</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4</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Treatment Plans</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5</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Tooth Charting</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4</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Automation Engine</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5</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6</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Daily Huddle</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3</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Marketing Engine</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3</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Reports / Analytics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4</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Auth / Security</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5</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w:t>
            </w:r>
          </w:p>
        </w:tc>
        <w:tc>
          <w:tcPr>
            <w:tcW w:type="dxa" w:w="1500"/>
            <w:vAlign w:val="center"/>
          </w:tcPr>
          <w:p>
            <w:r>
              <w:rPr>
                <w:b w:val="false"/>
                <w:bCs w:val="false"/>
                <w:sz w:val="18"/>
                <w:szCs w:val="18"/>
              </w:rPr>
              <w:t xml:space="preserve">6</w:t>
            </w:r>
          </w:p>
        </w:tc>
      </w:tr>
      <w:tr>
        <w:tc>
          <w:tcPr>
            <w:tcW w:type="dxa" w:w="3200"/>
            <w:vAlign w:val="center"/>
          </w:tcPr>
          <w:p>
            <w:r>
              <w:rPr>
                <w:b w:val="false"/>
                <w:bCs w:val="false"/>
                <w:sz w:val="18"/>
                <w:szCs w:val="18"/>
              </w:rPr>
              <w:t xml:space="preserve">Settings</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5</w:t>
            </w:r>
          </w:p>
        </w:tc>
        <w:tc>
          <w:tcPr>
            <w:tcW w:type="dxa" w:w="1000"/>
            <w:vAlign w:val="center"/>
          </w:tcPr>
          <w:p>
            <w:r>
              <w:rPr>
                <w:b w:val="false"/>
                <w:bCs w:val="false"/>
                <w:sz w:val="18"/>
                <w:szCs w:val="18"/>
              </w:rPr>
              <w:t xml:space="preserve">3</w:t>
            </w:r>
          </w:p>
        </w:tc>
        <w:tc>
          <w:tcPr>
            <w:tcW w:type="dxa" w:w="1500"/>
            <w:vAlign w:val="center"/>
          </w:tcPr>
          <w:p>
            <w:r>
              <w:rPr>
                <w:b w:val="false"/>
                <w:bCs w:val="false"/>
                <w:sz w:val="18"/>
                <w:szCs w:val="18"/>
              </w:rPr>
              <w:t xml:space="preserve">5.5</w:t>
            </w:r>
          </w:p>
        </w:tc>
      </w:tr>
      <w:tr>
        <w:tc>
          <w:tcPr>
            <w:tcW w:type="dxa" w:w="3200"/>
            <w:vAlign w:val="center"/>
          </w:tcPr>
          <w:p>
            <w:r>
              <w:rPr>
                <w:b w:val="false"/>
                <w:bCs w:val="false"/>
                <w:sz w:val="18"/>
                <w:szCs w:val="18"/>
              </w:rPr>
              <w:t xml:space="preserve">Billing / Invoicing</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8</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3</w:t>
            </w:r>
          </w:p>
        </w:tc>
        <w:tc>
          <w:tcPr>
            <w:tcW w:type="dxa" w:w="1500"/>
            <w:vAlign w:val="center"/>
          </w:tcPr>
          <w:p>
            <w:r>
              <w:rPr>
                <w:b w:val="false"/>
                <w:bCs w:val="false"/>
                <w:sz w:val="18"/>
                <w:szCs w:val="18"/>
              </w:rPr>
              <w:t xml:space="preserve">5</w:t>
            </w:r>
          </w:p>
        </w:tc>
      </w:tr>
      <w:tr>
        <w:tc>
          <w:tcPr>
            <w:tcW w:type="dxa" w:w="3200"/>
            <w:vAlign w:val="center"/>
          </w:tcPr>
          <w:p>
            <w:r>
              <w:rPr>
                <w:b w:val="false"/>
                <w:bCs w:val="false"/>
                <w:sz w:val="18"/>
                <w:szCs w:val="18"/>
              </w:rPr>
              <w:t xml:space="preserve">Dashboard</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5</w:t>
            </w:r>
          </w:p>
        </w:tc>
        <w:tc>
          <w:tcPr>
            <w:tcW w:type="dxa" w:w="1000"/>
            <w:vAlign w:val="center"/>
          </w:tcPr>
          <w:p>
            <w:r>
              <w:rPr>
                <w:b w:val="false"/>
                <w:bCs w:val="false"/>
                <w:sz w:val="18"/>
                <w:szCs w:val="18"/>
              </w:rPr>
              <w:t xml:space="preserve">3</w:t>
            </w:r>
          </w:p>
        </w:tc>
        <w:tc>
          <w:tcPr>
            <w:tcW w:type="dxa" w:w="1500"/>
            <w:vAlign w:val="center"/>
          </w:tcPr>
          <w:p>
            <w:r>
              <w:rPr>
                <w:b w:val="false"/>
                <w:bCs w:val="false"/>
                <w:sz w:val="18"/>
                <w:szCs w:val="18"/>
              </w:rPr>
              <w:t xml:space="preserve">5</w:t>
            </w:r>
          </w:p>
        </w:tc>
      </w:tr>
      <w:tr>
        <w:tc>
          <w:tcPr>
            <w:tcW w:type="dxa" w:w="3200"/>
            <w:vAlign w:val="center"/>
          </w:tcPr>
          <w:p>
            <w:r>
              <w:rPr>
                <w:b w:val="false"/>
                <w:bCs w:val="false"/>
                <w:sz w:val="18"/>
                <w:szCs w:val="18"/>
              </w:rPr>
              <w:t xml:space="preserve">DPDP Consent</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5</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w:t>
            </w:r>
          </w:p>
        </w:tc>
        <w:tc>
          <w:tcPr>
            <w:tcW w:type="dxa" w:w="1500"/>
            <w:vAlign w:val="center"/>
          </w:tcPr>
          <w:p>
            <w:r>
              <w:rPr>
                <w:b w:val="false"/>
                <w:bCs w:val="false"/>
                <w:sz w:val="18"/>
                <w:szCs w:val="18"/>
              </w:rPr>
              <w:t xml:space="preserve">5</w:t>
            </w:r>
          </w:p>
        </w:tc>
      </w:tr>
      <w:tr>
        <w:tc>
          <w:tcPr>
            <w:tcW w:type="dxa" w:w="3200"/>
            <w:vAlign w:val="center"/>
          </w:tcPr>
          <w:p>
            <w:r>
              <w:rPr>
                <w:b w:val="false"/>
                <w:bCs w:val="false"/>
                <w:sz w:val="18"/>
                <w:szCs w:val="18"/>
              </w:rPr>
              <w:t xml:space="preserve">Lab</w:t>
            </w:r>
          </w:p>
        </w:tc>
        <w:tc>
          <w:tcPr>
            <w:tcW w:type="dxa" w:w="1000"/>
            <w:vAlign w:val="center"/>
          </w:tcPr>
          <w:p>
            <w:r>
              <w:rPr>
                <w:b w:val="false"/>
                <w:bCs w:val="false"/>
                <w:sz w:val="18"/>
                <w:szCs w:val="18"/>
              </w:rPr>
              <w:t xml:space="preserve">3</w:t>
            </w:r>
          </w:p>
        </w:tc>
        <w:tc>
          <w:tcPr>
            <w:tcW w:type="dxa" w:w="1000"/>
            <w:vAlign w:val="center"/>
          </w:tcPr>
          <w:p>
            <w:r>
              <w:rPr>
                <w:b w:val="false"/>
                <w:bCs w:val="false"/>
                <w:sz w:val="18"/>
                <w:szCs w:val="18"/>
              </w:rPr>
              <w:t xml:space="preserve">4</w:t>
            </w:r>
          </w:p>
        </w:tc>
        <w:tc>
          <w:tcPr>
            <w:tcW w:type="dxa" w:w="1000"/>
            <w:vAlign w:val="center"/>
          </w:tcPr>
          <w:p>
            <w:r>
              <w:rPr>
                <w:b w:val="false"/>
                <w:bCs w:val="false"/>
                <w:sz w:val="18"/>
                <w:szCs w:val="18"/>
              </w:rPr>
              <w:t xml:space="preserve">6</w:t>
            </w:r>
          </w:p>
        </w:tc>
        <w:tc>
          <w:tcPr>
            <w:tcW w:type="dxa" w:w="1000"/>
            <w:vAlign w:val="center"/>
          </w:tcPr>
          <w:p>
            <w:r>
              <w:rPr>
                <w:b w:val="false"/>
                <w:bCs w:val="false"/>
                <w:sz w:val="18"/>
                <w:szCs w:val="18"/>
              </w:rPr>
              <w:t xml:space="preserve">5</w:t>
            </w:r>
          </w:p>
        </w:tc>
        <w:tc>
          <w:tcPr>
            <w:tcW w:type="dxa" w:w="1500"/>
            <w:vAlign w:val="center"/>
          </w:tcPr>
          <w:p>
            <w:r>
              <w:rPr>
                <w:b w:val="false"/>
                <w:bCs w:val="false"/>
                <w:sz w:val="18"/>
                <w:szCs w:val="18"/>
              </w:rPr>
              <w:t xml:space="preserve">4</w:t>
            </w:r>
          </w:p>
        </w:tc>
      </w:tr>
      <w:tr>
        <w:tc>
          <w:tcPr>
            <w:tcW w:type="dxa" w:w="3200"/>
            <w:vAlign w:val="center"/>
          </w:tcPr>
          <w:p>
            <w:r>
              <w:rPr>
                <w:b w:val="false"/>
                <w:bCs w:val="false"/>
                <w:sz w:val="18"/>
                <w:szCs w:val="18"/>
              </w:rPr>
              <w:t xml:space="preserve">Reviews / Reputation</w:t>
            </w:r>
          </w:p>
        </w:tc>
        <w:tc>
          <w:tcPr>
            <w:tcW w:type="dxa" w:w="1000"/>
            <w:vAlign w:val="center"/>
          </w:tcPr>
          <w:p>
            <w:r>
              <w:rPr>
                <w:b w:val="false"/>
                <w:bCs w:val="false"/>
                <w:sz w:val="18"/>
                <w:szCs w:val="18"/>
              </w:rPr>
              <w:t xml:space="preserve">4</w:t>
            </w:r>
          </w:p>
        </w:tc>
        <w:tc>
          <w:tcPr>
            <w:tcW w:type="dxa" w:w="1000"/>
            <w:vAlign w:val="center"/>
          </w:tcPr>
          <w:p>
            <w:r>
              <w:rPr>
                <w:b w:val="false"/>
                <w:bCs w:val="false"/>
                <w:sz w:val="18"/>
                <w:szCs w:val="18"/>
              </w:rPr>
              <w:t xml:space="preserve">4</w:t>
            </w:r>
          </w:p>
        </w:tc>
        <w:tc>
          <w:tcPr>
            <w:tcW w:type="dxa" w:w="1000"/>
            <w:vAlign w:val="center"/>
          </w:tcPr>
          <w:p>
            <w:r>
              <w:rPr>
                <w:b w:val="false"/>
                <w:bCs w:val="false"/>
                <w:sz w:val="18"/>
                <w:szCs w:val="18"/>
              </w:rPr>
              <w:t xml:space="preserve">7</w:t>
            </w:r>
          </w:p>
        </w:tc>
        <w:tc>
          <w:tcPr>
            <w:tcW w:type="dxa" w:w="1000"/>
            <w:vAlign w:val="center"/>
          </w:tcPr>
          <w:p>
            <w:r>
              <w:rPr>
                <w:b w:val="false"/>
                <w:bCs w:val="false"/>
                <w:sz w:val="18"/>
                <w:szCs w:val="18"/>
              </w:rPr>
              <w:t xml:space="preserve">5</w:t>
            </w:r>
          </w:p>
        </w:tc>
        <w:tc>
          <w:tcPr>
            <w:tcW w:type="dxa" w:w="1500"/>
            <w:vAlign w:val="center"/>
          </w:tcPr>
          <w:p>
            <w:r>
              <w:rPr>
                <w:b w:val="false"/>
                <w:bCs w:val="false"/>
                <w:sz w:val="18"/>
                <w:szCs w:val="18"/>
              </w:rPr>
              <w:t xml:space="preserve">4</w:t>
            </w:r>
          </w:p>
        </w:tc>
      </w:tr>
    </w:tbl>
    <w:p>
      <w:pPr>
        <w:spacing w:after="120"/>
      </w:pPr>
      <w:r>
        <w:rPr>
          <w:i/>
          <w:iCs/>
        </w:rPr>
        <w:t xml:space="preserve">Weakest three: Lab (4), Reviews (4), Billing/DPDP/Dashboard cluster (5). Model to copy for every other module: Treatment Visits, Procurement, Wallet, Memberships — thin controller, one shared service for web+API, transactional, no duplicate logic.</w:t>
      </w:r>
    </w:p>
    <w:p>
      <w:r>
        <w:br w:type="page"/>
      </w:r>
    </w:p>
    <w:p>
      <w:pPr>
        <w:pStyle w:val="Heading1"/>
        <w:spacing w:after="200" w:before="400"/>
      </w:pPr>
      <w:r>
        <w:t xml:space="preserve">6. Architecture Map</w:t>
      </w:r>
    </w:p>
    <w:p>
      <w:pPr>
        <w:pStyle w:val="Heading2"/>
        <w:spacing w:after="150" w:before="300"/>
      </w:pPr>
      <w:r>
        <w:t xml:space="preserve">The spine</w:t>
      </w:r>
    </w:p>
    <w:p>
      <w:pPr>
        <w:spacing w:after="120"/>
      </w:pPr>
      <w:r>
        <w:t xml:space="preserve">ActivityEngine → RulesEngine → downstream action (task/reminder/notification) is already the internal event bus — there is no separate message queue to build. The gap is missing producer calls, not missing infrastructure: not every module emits into the spine yet.</w:t>
      </w:r>
    </w:p>
    <w:p>
      <w:pPr>
        <w:pStyle w:val="Heading2"/>
        <w:spacing w:after="150" w:before="300"/>
      </w:pPr>
      <w:r>
        <w:t xml:space="preserve">Canonical service layer (the AI-readiness axis)</w:t>
      </w:r>
    </w:p>
    <w:p>
      <w:pPr>
        <w:spacing w:after="120"/>
      </w:pPr>
      <w:r>
        <w:t xml:space="preserve">A codebase-wide check found zero Illuminate\Http\Request dependencies inside app/Services/ — the service layer already takes plain models/arrays plus an explicit User $actor, which is exactly the shape a future AI tool, a mobile client, or an automation job needs. The unfinished work is that transaction boundaries and business logic still live inside controllers in several modules, duplicated between web and API. Collapsing that duplication (Billing, Inventory, Consultations, Treatment Plans, Prescriptions, Dashboard, Huddle) is Priority Tier P2 of the execution backlog and is the real substance of "AI-ready" — not a separate initiative.</w:t>
      </w:r>
    </w:p>
    <w:p>
      <w:pPr>
        <w:pStyle w:val="Heading2"/>
        <w:spacing w:after="150" w:before="300"/>
      </w:pPr>
      <w:r>
        <w:t xml:space="preserve">Engines and services ready to become AI tools today ("CLEAN")</w:t>
      </w:r>
    </w:p>
    <w:p>
      <w:pPr>
        <w:pStyle w:val="ListParagraph"/>
        <w:numPr>
          <w:ilvl w:val="0"/>
          <w:numId w:val="1"/>
        </w:numPr>
        <w:spacing w:after="60"/>
      </w:pPr>
      <w:r>
        <w:t xml:space="preserve">TodayActionsEngine, UnifiedTimelineService, IdentityResolver, ActivityEngine, RulesEngine, CommunicationGuard — all read-safe, no session coupling.</w:t>
      </w:r>
    </w:p>
    <w:p>
      <w:pPr>
        <w:pStyle w:val="ListParagraph"/>
        <w:numPr>
          <w:ilvl w:val="0"/>
          <w:numId w:val="1"/>
        </w:numPr>
        <w:spacing w:after="60"/>
      </w:pPr>
      <w:r>
        <w:t xml:space="preserve">AppointmentService, TreatmentPlanAcceptanceService, TreatmentVisitService, WalletService, CouponService, PrescriptionAlertService, PatientProfileService — clean entity services with explicit actor.</w:t>
      </w:r>
    </w:p>
    <w:p>
      <w:pPr>
        <w:pStyle w:val="ListParagraph"/>
        <w:numPr>
          <w:ilvl w:val="0"/>
          <w:numId w:val="1"/>
        </w:numPr>
        <w:spacing w:after="60"/>
      </w:pPr>
      <w:r>
        <w:t xml:space="preserve">InsightsEngine, AutomationEngine (pure timing primitives) — zero-risk reads.</w:t>
      </w:r>
    </w:p>
    <w:p>
      <w:pPr>
        <w:pStyle w:val="ListParagraph"/>
        <w:numPr>
          <w:ilvl w:val="0"/>
          <w:numId w:val="1"/>
        </w:numPr>
        <w:spacing w:after="60"/>
      </w:pPr>
      <w:r>
        <w:t xml:space="preserve">Do NOT wrap: AppointmentReminderEngine::generateReminders() — its own docblock documents a bug (NOT NULL violation) and it is already superseded by ReminderAutomationRunner.</w:t>
      </w:r>
    </w:p>
    <w:p>
      <w:pPr>
        <w:pStyle w:val="Heading2"/>
        <w:spacing w:after="150" w:before="300"/>
      </w:pPr>
      <w:r>
        <w:t xml:space="preserve">The missing piece: a hardened tool-runner</w:t>
      </w:r>
    </w:p>
    <w:p>
      <w:pPr>
        <w:spacing w:after="120"/>
      </w:pPr>
      <w:r>
        <w:t xml:space="preserve">The AI assistant ("Tulip") already exists — agent loop, local LLM (Ollama qwen2.5:7b), 14 registered tools, confirm-before-write audit log, voice transcription endpoint — and is rendered on every authenticated page today. What it does not yet do is call User::canAccess() (the real permission gate) or enforce tenant scoping before executing a tool. This is the single architectural prerequisite for V3 Copilot, and it is a hardening task, not a new build.</w:t>
      </w:r>
    </w:p>
    <w:p>
      <w:pPr>
        <w:pStyle w:val="Heading2"/>
        <w:spacing w:after="150" w:before="300"/>
      </w:pPr>
      <w:r>
        <w:t xml:space="preserve">Known structural blockers</w:t>
      </w:r>
    </w:p>
    <w:p>
      <w:pPr>
        <w:pStyle w:val="ListParagraph"/>
        <w:numPr>
          <w:ilvl w:val="0"/>
          <w:numId w:val="1"/>
        </w:numPr>
        <w:spacing w:after="60"/>
      </w:pPr>
      <w:r>
        <w:rPr>
          <w:b/>
          <w:bCs/>
        </w:rPr>
        <w:t xml:space="preserve">Multi-tenancy is not implemented. </w:t>
      </w:r>
      <w:r>
        <w:t xml:space="preserve">Onboarding a second clinic today would leak clinic #1's PHI across the boundary. This is the single largest blocker to commercial SaaS scale and a multi-week, non-optional prerequisite before Version 1.5's connected-platform posture is monetized across multiple clinics.</w:t>
      </w:r>
    </w:p>
    <w:p>
      <w:pPr>
        <w:pStyle w:val="ListParagraph"/>
        <w:numPr>
          <w:ilvl w:val="0"/>
          <w:numId w:val="1"/>
        </w:numPr>
        <w:spacing w:after="60"/>
      </w:pPr>
      <w:r>
        <w:rPr>
          <w:b/>
          <w:bCs/>
        </w:rPr>
        <w:t xml:space="preserve">PHI encryption is deliberately parked. </w:t>
      </w:r>
      <w:r>
        <w:t xml:space="preserve">name/phone/email are not encrypted at rest; phone is indexed for dedupe/search, so encryption requires a blind-index column, backfill, and search rewrite. Correctly parked until near public launch per prior CEO decision — flagged here so it is not silently forgotten.</w:t>
      </w:r>
    </w:p>
    <w:p>
      <w:pPr>
        <w:pStyle w:val="ListParagraph"/>
        <w:numPr>
          <w:ilvl w:val="0"/>
          <w:numId w:val="1"/>
        </w:numPr>
        <w:spacing w:after="60"/>
      </w:pPr>
      <w:r>
        <w:rPr>
          <w:b/>
          <w:bCs/>
        </w:rPr>
        <w:t xml:space="preserve">The tool-runner permission gap. </w:t>
      </w:r>
      <w:r>
        <w:t xml:space="preserve">described above — must close before V3 Copilot work of any kind begins.</w:t>
      </w:r>
    </w:p>
    <w:p>
      <w:r>
        <w:br w:type="page"/>
      </w:r>
    </w:p>
    <w:p>
      <w:pPr>
        <w:pStyle w:val="Heading1"/>
        <w:spacing w:after="200" w:before="400"/>
      </w:pPr>
      <w:r>
        <w:t xml:space="preserve">7. Launch Readiness Checklist</w:t>
      </w:r>
    </w:p>
    <w:p>
      <w:pPr>
        <w:spacing w:after="120"/>
      </w:pPr>
      <w:r>
        <w:t xml:space="preserve">"Launch" here means: Tulip Dental (clinic #1) running entirely on Dentfluence with no workarounds, per the CEO's own Definition of Done for Phase 1. Ordered by the CEO's own priority: Stability -&gt; Completeness -&gt; Polish -&gt; Canonical/AI-readiness.</w:t>
      </w:r>
    </w:p>
    <w:p>
      <w:pPr>
        <w:pStyle w:val="Heading2"/>
        <w:spacing w:after="150" w:before="300"/>
      </w:pPr>
      <w:r>
        <w:t xml:space="preserve">P0 — Trust &amp; integrity blockers (must fix before anything else)</w:t>
      </w:r>
    </w:p>
    <w:p>
      <w:pPr>
        <w:pStyle w:val="ListParagraph"/>
        <w:numPr>
          <w:ilvl w:val="0"/>
          <w:numId w:val="1"/>
        </w:numPr>
        <w:spacing w:after="60"/>
      </w:pPr>
      <w:r>
        <w:t xml:space="preserve">DONE — Inventory GRN-receive transaction wrap (runtime-verified 2026-07-18).</w:t>
      </w:r>
    </w:p>
    <w:p>
      <w:pPr>
        <w:pStyle w:val="ListParagraph"/>
        <w:numPr>
          <w:ilvl w:val="0"/>
          <w:numId w:val="1"/>
        </w:numPr>
        <w:spacing w:after="60"/>
      </w:pPr>
      <w:r>
        <w:t xml:space="preserve">Lab — reconciliation-eligibility bug (received_date vs final_received_date mismatch) — money silently untracked.</w:t>
      </w:r>
    </w:p>
    <w:p>
      <w:pPr>
        <w:pStyle w:val="ListParagraph"/>
        <w:numPr>
          <w:ilvl w:val="0"/>
          <w:numId w:val="1"/>
        </w:numPr>
        <w:spacing w:after="60"/>
      </w:pPr>
      <w:r>
        <w:t xml:space="preserve">Billing — lock coupon redemption against concurrent over-use.</w:t>
      </w:r>
    </w:p>
    <w:p>
      <w:pPr>
        <w:pStyle w:val="ListParagraph"/>
        <w:numPr>
          <w:ilvl w:val="0"/>
          <w:numId w:val="1"/>
        </w:numPr>
        <w:spacing w:after="60"/>
      </w:pPr>
      <w:r>
        <w:t xml:space="preserve">Lab — wrap transition() status/task/expense writes in one transaction.</w:t>
      </w:r>
    </w:p>
    <w:p>
      <w:pPr>
        <w:pStyle w:val="ListParagraph"/>
        <w:numPr>
          <w:ilvl w:val="0"/>
          <w:numId w:val="1"/>
        </w:numPr>
        <w:spacing w:after="60"/>
      </w:pPr>
      <w:r>
        <w:t xml:space="preserve">Settings — enforce can_edit (not just view) on all write routes; add controller-level authorize() backstop.</w:t>
      </w:r>
    </w:p>
    <w:p>
      <w:pPr>
        <w:pStyle w:val="ListParagraph"/>
        <w:numPr>
          <w:ilvl w:val="0"/>
          <w:numId w:val="1"/>
        </w:numPr>
        <w:spacing w:after="60"/>
      </w:pPr>
      <w:r>
        <w:t xml:space="preserve">Auth — rate-limit PIN/OTP verification (currently brute-forceable).</w:t>
      </w:r>
    </w:p>
    <w:p>
      <w:pPr>
        <w:pStyle w:val="ListParagraph"/>
        <w:numPr>
          <w:ilvl w:val="0"/>
          <w:numId w:val="1"/>
        </w:numPr>
        <w:spacing w:after="60"/>
      </w:pPr>
      <w:r>
        <w:t xml:space="preserve">Treatment Plans — verify doctor_id/plan_date migrations have actually run in prod, or add a hasColumn guard.</w:t>
      </w:r>
    </w:p>
    <w:p>
      <w:pPr>
        <w:pStyle w:val="Heading2"/>
        <w:spacing w:after="150" w:before="300"/>
      </w:pPr>
      <w:r>
        <w:t xml:space="preserve">P1 — Silent-failure trust &amp; reachability</w:t>
      </w:r>
    </w:p>
    <w:p>
      <w:pPr>
        <w:pStyle w:val="ListParagraph"/>
        <w:numPr>
          <w:ilvl w:val="0"/>
          <w:numId w:val="1"/>
        </w:numPr>
        <w:spacing w:after="60"/>
      </w:pPr>
      <w:r>
        <w:t xml:space="preserve">Reviews — re-point to the live WhatsApp-Web (wa.me) channel; the automated send currently targets the parked Meta Cloud API and cannot reach patients at all.</w:t>
      </w:r>
    </w:p>
    <w:p>
      <w:pPr>
        <w:pStyle w:val="ListParagraph"/>
        <w:numPr>
          <w:ilvl w:val="0"/>
          <w:numId w:val="1"/>
        </w:numPr>
        <w:spacing w:after="60"/>
      </w:pPr>
      <w:r>
        <w:t xml:space="preserve">WhatsApp — mark a message "sent" only on staff confirmation, not on link generation.</w:t>
      </w:r>
    </w:p>
    <w:p>
      <w:pPr>
        <w:pStyle w:val="ListParagraph"/>
        <w:numPr>
          <w:ilvl w:val="0"/>
          <w:numId w:val="1"/>
        </w:numPr>
        <w:spacing w:after="60"/>
      </w:pPr>
      <w:r>
        <w:t xml:space="preserve">Automation — surface silently-skipped rules (currently only a debug log when relationship_id is unresolved).</w:t>
      </w:r>
    </w:p>
    <w:p>
      <w:pPr>
        <w:pStyle w:val="ListParagraph"/>
        <w:numPr>
          <w:ilvl w:val="0"/>
          <w:numId w:val="1"/>
        </w:numPr>
        <w:spacing w:after="60"/>
      </w:pPr>
      <w:r>
        <w:t xml:space="preserve">Remove the two fake/hardcoded KPIs (Inventory implant-stock-health, Marketing Campaign Reach/Impressions).</w:t>
      </w:r>
    </w:p>
    <w:p>
      <w:pPr>
        <w:pStyle w:val="ListParagraph"/>
        <w:numPr>
          <w:ilvl w:val="0"/>
          <w:numId w:val="1"/>
        </w:numPr>
        <w:spacing w:after="60"/>
      </w:pPr>
      <w:r>
        <w:t xml:space="preserve">DPDP — make CommunicationGuard structurally unbypassable; close the mobile deep-link bypass; capture consent at registration.</w:t>
      </w:r>
    </w:p>
    <w:p>
      <w:pPr>
        <w:pStyle w:val="Heading2"/>
        <w:spacing w:after="150" w:before="300"/>
      </w:pPr>
      <w:r>
        <w:t xml:space="preserve">P2 — Canonical architecture (the real AI-readiness work)</w:t>
      </w:r>
    </w:p>
    <w:p>
      <w:pPr>
        <w:pStyle w:val="ListParagraph"/>
        <w:numPr>
          <w:ilvl w:val="0"/>
          <w:numId w:val="1"/>
        </w:numPr>
        <w:spacing w:after="60"/>
      </w:pPr>
      <w:r>
        <w:t xml:space="preserve">Collapse duplicate web/API logic onto one service per module: Billing, Inventory, Consultations, Treatment Plans, Prescriptions, Dashboard, Huddle.</w:t>
      </w:r>
    </w:p>
    <w:p>
      <w:pPr>
        <w:pStyle w:val="ListParagraph"/>
        <w:numPr>
          <w:ilvl w:val="0"/>
          <w:numId w:val="1"/>
        </w:numPr>
        <w:spacing w:after="60"/>
      </w:pPr>
      <w:r>
        <w:t xml:space="preserve">Add per-action permission checks (User::canAccess) starting with money/security-sensitive writes.</w:t>
      </w:r>
    </w:p>
    <w:p>
      <w:pPr>
        <w:pStyle w:val="Heading2"/>
        <w:spacing w:after="150" w:before="300"/>
      </w:pPr>
      <w:r>
        <w:t xml:space="preserve">P3 — Polish &amp; verification</w:t>
      </w:r>
    </w:p>
    <w:p>
      <w:pPr>
        <w:pStyle w:val="ListParagraph"/>
        <w:numPr>
          <w:ilvl w:val="0"/>
          <w:numId w:val="1"/>
        </w:numPr>
        <w:spacing w:after="60"/>
      </w:pPr>
      <w:r>
        <w:t xml:space="preserve">Delete dead/legacy paths (clinical_media legacy upload, ClinicalFinding, retired blog calendar view, tombstoned TreatmentVisitController).</w:t>
      </w:r>
    </w:p>
    <w:p>
      <w:pPr>
        <w:pStyle w:val="ListParagraph"/>
        <w:numPr>
          <w:ilvl w:val="0"/>
          <w:numId w:val="1"/>
        </w:numPr>
        <w:spacing w:after="60"/>
      </w:pPr>
      <w:r>
        <w:t xml:space="preserve">Split monolith files (patients/show.blade.php, Huddle controller).</w:t>
      </w:r>
    </w:p>
    <w:p>
      <w:pPr>
        <w:pStyle w:val="ListParagraph"/>
        <w:numPr>
          <w:ilvl w:val="0"/>
          <w:numId w:val="1"/>
        </w:numPr>
        <w:spacing w:after="60"/>
      </w:pPr>
      <w:r>
        <w:t xml:space="preserve">Full runtime verification pass: app:crawl-routes, security:selftest, automation:parity, and a real browser walkthrough of every item marked (rt) in the audits — this closes the gap between "code-complete" and "proven."</w:t>
      </w:r>
    </w:p>
    <w:p>
      <w:pPr>
        <w:pStyle w:val="Heading2"/>
        <w:spacing w:after="150" w:before="300"/>
      </w:pPr>
      <w:r>
        <w:t xml:space="preserve">Standing blockers to re-confirm before any "launch" declaration</w:t>
      </w:r>
    </w:p>
    <w:p>
      <w:pPr>
        <w:pStyle w:val="ListParagraph"/>
        <w:numPr>
          <w:ilvl w:val="0"/>
          <w:numId w:val="1"/>
        </w:numPr>
        <w:spacing w:after="60"/>
      </w:pPr>
      <w:r>
        <w:t xml:space="preserve">The entire 2026-07-14 Hardening Sprint is untested beyond route-crawl — this includes every money-safety and appointment-guard fix.</w:t>
      </w:r>
    </w:p>
    <w:p>
      <w:pPr>
        <w:pStyle w:val="ListParagraph"/>
        <w:numPr>
          <w:ilvl w:val="0"/>
          <w:numId w:val="1"/>
        </w:numPr>
        <w:spacing w:after="60"/>
      </w:pPr>
      <w:r>
        <w:t xml:space="preserve">VPS deployed commit has not been reconciled against local main since 2026-07-19 — confirm via SSH before assuming anything committed is live.</w:t>
      </w:r>
    </w:p>
    <w:p>
      <w:pPr>
        <w:pStyle w:val="ListParagraph"/>
        <w:numPr>
          <w:ilvl w:val="0"/>
          <w:numId w:val="1"/>
        </w:numPr>
        <w:spacing w:after="60"/>
      </w:pPr>
      <w:r>
        <w:t xml:space="preserve">1,810-item recall backlog and 17 orphan relationship rows are live in production and must be throttled/backfilled deliberately, not bulk-fired.</w:t>
      </w:r>
    </w:p>
    <w:p>
      <w:r>
        <w:br w:type="page"/>
      </w:r>
    </w:p>
    <w:p>
      <w:pPr>
        <w:pStyle w:val="Heading1"/>
        <w:spacing w:after="200" w:before="400"/>
      </w:pPr>
      <w:r>
        <w:t xml:space="preserve">8. Future Backlog</w:t>
      </w:r>
    </w:p>
    <w:p>
      <w:pPr>
        <w:spacing w:after="120"/>
      </w:pPr>
      <w:r>
        <w:t xml:space="preserve">Ideas and partially-built modules that are real, credible, and explicitly NOT current work. Nothing here should be picked up without CEO re-approval — that is the entire point of this section.</w:t>
      </w:r>
    </w:p>
    <w:p>
      <w:pPr>
        <w:pStyle w:val="Heading2"/>
        <w:spacing w:after="150" w:before="300"/>
      </w:pPr>
      <w:r>
        <w:t xml:space="preserve">Already sequenced in the locked roadmap (Section 3)</w:t>
      </w:r>
    </w:p>
    <w:p>
      <w:pPr>
        <w:pStyle w:val="ListParagraph"/>
        <w:numPr>
          <w:ilvl w:val="0"/>
          <w:numId w:val="1"/>
        </w:numPr>
        <w:spacing w:after="60"/>
      </w:pPr>
      <w:r>
        <w:t xml:space="preserve">V1.5 Connected Platform — Meta WhatsApp Cloud API, Google integrations, automated Communication/Marketing Engines.</w:t>
      </w:r>
    </w:p>
    <w:p>
      <w:pPr>
        <w:pStyle w:val="ListParagraph"/>
        <w:numPr>
          <w:ilvl w:val="0"/>
          <w:numId w:val="1"/>
        </w:numPr>
        <w:spacing w:after="60"/>
      </w:pPr>
      <w:r>
        <w:t xml:space="preserve">V2 Clinical Cloud — secure clinical media repository.</w:t>
      </w:r>
    </w:p>
    <w:p>
      <w:pPr>
        <w:pStyle w:val="ListParagraph"/>
        <w:numPr>
          <w:ilvl w:val="0"/>
          <w:numId w:val="1"/>
        </w:numPr>
        <w:spacing w:after="60"/>
      </w:pPr>
      <w:r>
        <w:t xml:space="preserve">V3 Copilot / V4 AI Secretary — see Voice &amp; AI below for sequencing detail.</w:t>
      </w:r>
    </w:p>
    <w:p>
      <w:pPr>
        <w:pStyle w:val="ListParagraph"/>
        <w:numPr>
          <w:ilvl w:val="0"/>
          <w:numId w:val="1"/>
        </w:numPr>
        <w:spacing w:after="60"/>
      </w:pPr>
      <w:r>
        <w:t xml:space="preserve">Phase PPX ("Patient Plan Experience") — patient microsite over published treatment plans; absorbs the shelved Case Acceptance patient-facing layer; logged as design-only, zero action now, 3 soft guardrails already riding inside current Slice 2.2/3.1 work so it isn't blocked later.</w:t>
      </w:r>
    </w:p>
    <w:p>
      <w:pPr>
        <w:pStyle w:val="Heading2"/>
        <w:spacing w:after="150" w:before="300"/>
      </w:pPr>
      <w:r>
        <w:t xml:space="preserve">Built-or-designed but explicitly not current (needs re-approval before resuming)</w:t>
      </w:r>
    </w:p>
    <w:p>
      <w:pPr>
        <w:pStyle w:val="ListParagraph"/>
        <w:numPr>
          <w:ilvl w:val="0"/>
          <w:numId w:val="1"/>
        </w:numPr>
        <w:spacing w:after="60"/>
      </w:pPr>
      <w:r>
        <w:rPr>
          <w:b/>
          <w:bCs/>
        </w:rPr>
        <w:t xml:space="preserve">Standalone Dental CRM spin-off — </w:t>
      </w:r>
      <w:r>
        <w:t xml:space="preserve">a real, separately-scoped idea; pending kickoff decision.</w:t>
      </w:r>
    </w:p>
    <w:p>
      <w:pPr>
        <w:pStyle w:val="ListParagraph"/>
        <w:numPr>
          <w:ilvl w:val="0"/>
          <w:numId w:val="1"/>
        </w:numPr>
        <w:spacing w:after="60"/>
      </w:pPr>
      <w:r>
        <w:rPr>
          <w:b/>
          <w:bCs/>
        </w:rPr>
        <w:t xml:space="preserve">"Dental Ecosystem Phase H" / ProConsult expansion — </w:t>
      </w:r>
      <w:r>
        <w:t xml:space="preserve">designed 3 weeks before CEO Directive #003 locked; reads exactly like the roadmap expansion the directive forbids without explicit sign-off. Needs an explicit CEO yes/no, not silent continuation.</w:t>
      </w:r>
    </w:p>
    <w:p>
      <w:pPr>
        <w:pStyle w:val="ListParagraph"/>
        <w:numPr>
          <w:ilvl w:val="0"/>
          <w:numId w:val="1"/>
        </w:numPr>
        <w:spacing w:after="60"/>
      </w:pPr>
      <w:r>
        <w:rPr>
          <w:b/>
          <w:bCs/>
        </w:rPr>
        <w:t xml:space="preserve">PRM AI Plan — </w:t>
      </w:r>
      <w:r>
        <w:t xml:space="preserve">built against PrmController/Lead, both hard-deleted in the PRM retirement (2026-07-04). Needs a code-verification pass to determine if any of it survived inside LeadPipelineController before deciding whether to resurrect or discard.</w:t>
      </w:r>
    </w:p>
    <w:p>
      <w:pPr>
        <w:pStyle w:val="ListParagraph"/>
        <w:numPr>
          <w:ilvl w:val="0"/>
          <w:numId w:val="1"/>
        </w:numPr>
        <w:spacing w:after="60"/>
      </w:pPr>
      <w:r>
        <w:rPr>
          <w:b/>
          <w:bCs/>
        </w:rPr>
        <w:t xml:space="preserve">ABDM/FHIR migration — </w:t>
      </w:r>
      <w:r>
        <w:t xml:space="preserve">design/blueprint only, flags off; correctly a future-phase reference, not active work.</w:t>
      </w:r>
    </w:p>
    <w:p>
      <w:pPr>
        <w:pStyle w:val="ListParagraph"/>
        <w:numPr>
          <w:ilvl w:val="0"/>
          <w:numId w:val="1"/>
        </w:numPr>
        <w:spacing w:after="60"/>
      </w:pPr>
      <w:r>
        <w:rPr>
          <w:b/>
          <w:bCs/>
        </w:rPr>
        <w:t xml:space="preserve">Smart Treatment Presentation — </w:t>
      </w:r>
      <w:r>
        <w:t xml:space="preserve">MEMORY.md states Case Acceptance Engine replaces it, but the module is fully built and live-facing with no recorded retirement. Resolve as ACTIVE-vs-ARCHIVE with Sumit before either touching or discarding it (see Section 9 contradictions).</w:t>
      </w:r>
    </w:p>
    <w:p>
      <w:pPr>
        <w:pStyle w:val="Heading2"/>
        <w:spacing w:after="150" w:before="300"/>
      </w:pPr>
      <w:r>
        <w:t xml:space="preserve">Explicitly rejected / parked by prior decision — do not re-propose</w:t>
      </w:r>
    </w:p>
    <w:p>
      <w:pPr>
        <w:pStyle w:val="ListParagraph"/>
        <w:numPr>
          <w:ilvl w:val="0"/>
          <w:numId w:val="1"/>
        </w:numPr>
        <w:spacing w:after="60"/>
      </w:pPr>
      <w:r>
        <w:t xml:space="preserve">Lab price list OCR/scanning — reverted; manual entry only.</w:t>
      </w:r>
    </w:p>
    <w:p>
      <w:pPr>
        <w:pStyle w:val="ListParagraph"/>
        <w:numPr>
          <w:ilvl w:val="0"/>
          <w:numId w:val="1"/>
        </w:numPr>
        <w:spacing w:after="60"/>
      </w:pPr>
      <w:r>
        <w:t xml:space="preserve">Patient anniversary tracking — rejected as a proposal.</w:t>
      </w:r>
    </w:p>
    <w:p>
      <w:pPr>
        <w:pStyle w:val="ListParagraph"/>
        <w:numPr>
          <w:ilvl w:val="0"/>
          <w:numId w:val="1"/>
        </w:numPr>
        <w:spacing w:after="60"/>
      </w:pPr>
      <w:r>
        <w:t xml:space="preserve">Encryption/tenant-isolation hardening as a Phase 1 item — correctly parked until near public launch (see Architecture Map), but must not be forgotten indefinitely.</w:t>
      </w:r>
    </w:p>
    <w:p>
      <w:pPr>
        <w:pStyle w:val="Heading2"/>
        <w:spacing w:after="150" w:before="300"/>
      </w:pPr>
      <w:r>
        <w:t xml:space="preserve">Voice &amp; AI — where it belongs (Task 6)</w:t>
      </w:r>
    </w:p>
    <w:p>
      <w:pPr>
        <w:spacing w:after="120"/>
      </w:pPr>
      <w:r>
        <w:t xml:space="preserve">Dentfluence's own AI-maturity ambition (found in a companion internal note, not a CEO directive) proposes a three-stage voice progression: V1 AI Scribe (record -&gt; transcript -&gt; draft), V2 AI Guide (clinical guidance), V3 AI Companion (real-time clinical assistant).</w:t>
      </w:r>
    </w:p>
    <w:p>
      <w:pPr>
        <w:spacing w:after="120"/>
      </w:pPr>
      <w:r>
        <w:rPr>
          <w:b/>
          <w:bCs/>
        </w:rPr>
        <w:t xml:space="preserve">Recommendation: do not restructure the locked roadmap to promote Voice to a foundation phase. </w:t>
      </w:r>
      <w:r>
        <w:t xml:space="preserve">But recognize that AI Scribe (V1 of that progression) is already substantially built, not proposed — a working transcription endpoint (local faster-whisper), a live agent loop, and 14 registered tools already run on every page today. That is a P1 polish item (finish and validate what already exists), not a new roadmap phase, and finishing it does not violate the "no new modules" rule in Directive #003.</w:t>
      </w:r>
    </w:p>
    <w:p>
      <w:pPr>
        <w:spacing w:after="120"/>
      </w:pPr>
      <w:r>
        <w:t xml:space="preserve">AI Guide and AI Companion (clinical guidance, real-time assistance) are correctly gated exactly where CEO Directive #003 already puts them — Version 3 Copilot, after V1 and V1.5 are production-ready — because they require two prerequisites that do not exist yet: (1) the canonical, non-duplicated service layer from Execution Backlog Tier P2, so an AI tool calls one true implementation, not whichever of two diverging web/API copies happens to be wired in; and (2) the hardened tool-runner enforcing User::canAccess() and tenant scoping described in the Architecture Map, without which an autonomous or semi-autonomous voice agent could act outside a user's real permissions. Moving clinical guidance earlier than that would be moving a capability ahead of its own safety rails — recommend against it, explicitly, even though the temptation exists because the transcription plumbing already works.</w:t>
      </w:r>
    </w:p>
    <w:p>
      <w:pPr>
        <w:spacing w:after="120"/>
      </w:pPr>
      <w:r>
        <w:rPr>
          <w:i/>
          <w:iCs/>
        </w:rPr>
        <w:t xml:space="preserve">One narrow exception worth flagging to the CEO for approval: validating the existing AI Scribe (dictate a consultation note -&gt; transcript -&gt; AI-drafted structured note, human reviews before save) is low-risk, uses zero new modules, and could be folded into the Consultations P3 polish item already in the execution backlog — it is a genuine quick win sitting on already-built infrastructure, not scope creep.</w:t>
      </w:r>
    </w:p>
    <w:p>
      <w:r>
        <w:br w:type="page"/>
      </w:r>
    </w:p>
    <w:p>
      <w:pPr>
        <w:pStyle w:val="Heading1"/>
        <w:spacing w:after="200" w:before="400"/>
      </w:pPr>
      <w:r>
        <w:t xml:space="preserve">9. Archive List</w:t>
      </w:r>
    </w:p>
    <w:p>
      <w:pPr>
        <w:spacing w:after="120"/>
      </w:pPr>
      <w:r>
        <w:t xml:space="preserve">Full document-by-document categorization (all ~300 memory and docs/ files reviewed) is retained in the audit working notes. This section lists the categories and representative reasoning; individual files are not renamed or deleted — they simply stop being treated as active planning inputs.</w:t>
      </w:r>
    </w:p>
    <w:p>
      <w:pPr>
        <w:pStyle w:val="Heading2"/>
        <w:spacing w:after="150" w:before="300"/>
      </w:pPr>
      <w:r>
        <w:t xml:space="preserve">ARCHIVE (historical, completed/frozen — kept for record, not actionable)</w:t>
      </w:r>
    </w:p>
    <w:p>
      <w:pPr>
        <w:spacing w:after="120"/>
      </w:pPr>
      <w:r>
        <w:t xml:space="preserve">Roughly 45 files: completed backend-orchestration slice reports, shipped billing/consultation/inventory cleanups, completed Action Board fixes, superseded doctor-color-card iterations (a same-day v1-to-v2 pair), completed prescription/visit-vitals features, the original DEVLOG.md build tracker, and the entire pre-existing docs/archive/ folder (18 files: old Finance FRD, DAM, CMS build summary, PRM progress notes). All represent real, completed work — kept as historical record, correctly out of active rotation already.</w:t>
      </w:r>
    </w:p>
    <w:p>
      <w:pPr>
        <w:pStyle w:val="Heading2"/>
        <w:spacing w:after="150" w:before="300"/>
      </w:pPr>
      <w:r>
        <w:t xml:space="preserve">REFERENCE (stable ground truth — keep active, not roadmap-shaped)</w:t>
      </w:r>
    </w:p>
    <w:p>
      <w:pPr>
        <w:spacing w:after="120"/>
      </w:pPr>
      <w:r>
        <w:t xml:space="preserve">Governance/guardrail rules (patient-registration invariant, PRE-only communication entry point, UI-complexity rule, "simple not busier"), environment facts (drive layout, VPS deploy runbook, Docker gotchas, Laravel/Laragon quirks), and foundational audits that fed current work (PRE Engine Audit, Legacy PRM Audit, Production Readiness Review). These are correctly living outside the roadmap — they are permanent operating context, not phases with an end date.</w:t>
      </w:r>
    </w:p>
    <w:p>
      <w:pPr>
        <w:pStyle w:val="Heading2"/>
        <w:spacing w:after="150" w:before="300"/>
      </w:pPr>
      <w:r>
        <w:t xml:space="preserve">OBSOLETE — flagged for explicit reconciliation, not silent deletion</w:t>
      </w:r>
    </w:p>
    <w:p>
      <w:pPr>
        <w:pStyle w:val="ListParagraph"/>
        <w:numPr>
          <w:ilvl w:val="0"/>
          <w:numId w:val="1"/>
        </w:numPr>
        <w:spacing w:after="60"/>
      </w:pPr>
      <w:r>
        <w:rPr>
          <w:b/>
          <w:bCs/>
        </w:rPr>
        <w:t xml:space="preserve">os_feature_roadmap — </w:t>
      </w:r>
      <w:r>
        <w:t xml:space="preserve">explicitly superseded by CEO Directive #003; its DPDP deadline (13 May 2027) and a DICOM-imaging gap finding are still true and worth preserving even though the roadmap structure itself is dropped.</w:t>
      </w:r>
    </w:p>
    <w:p>
      <w:pPr>
        <w:pStyle w:val="ListParagraph"/>
        <w:numPr>
          <w:ilvl w:val="0"/>
          <w:numId w:val="1"/>
        </w:numPr>
        <w:spacing w:after="60"/>
      </w:pPr>
      <w:r>
        <w:rPr>
          <w:b/>
          <w:bCs/>
        </w:rPr>
        <w:t xml:space="preserve">local_first — </w:t>
      </w:r>
      <w:r>
        <w:t xml:space="preserve">precondition ("until VPS purchased") is now false; the VPS is live. Retire.</w:t>
      </w:r>
    </w:p>
    <w:p>
      <w:pPr>
        <w:pStyle w:val="ListParagraph"/>
        <w:numPr>
          <w:ilvl w:val="0"/>
          <w:numId w:val="1"/>
        </w:numPr>
        <w:spacing w:after="60"/>
      </w:pPr>
      <w:r>
        <w:rPr>
          <w:b/>
          <w:bCs/>
        </w:rPr>
        <w:t xml:space="preserve">dental_ecosystem_phaseh, prm_ai_plan, smart_treatment_plan_brightplans — </w:t>
      </w:r>
      <w:r>
        <w:t xml:space="preserve">see Section 8; each needs an explicit CEO call, not automatic archiving, because each still has live or ambiguous code implications.</w:t>
      </w:r>
    </w:p>
    <w:p>
      <w:pPr>
        <w:pStyle w:val="ListParagraph"/>
        <w:numPr>
          <w:ilvl w:val="0"/>
          <w:numId w:val="1"/>
        </w:numPr>
        <w:spacing w:after="60"/>
      </w:pPr>
      <w:r>
        <w:rPr>
          <w:b/>
          <w:bCs/>
        </w:rPr>
        <w:t xml:space="preserve">Root-level ARCHITECTURE.md, PROGRESS_STATUS_2026-06-27.md, DENTFLUENCE_MOBILE_ROADMAP.md, DEPLOY.md, DEPLOY_READINESS.md — </w:t>
      </w:r>
      <w:r>
        <w:t xml:space="preserve">each explicitly superseded by a later document (ENGINEER_HANDOVER.md, APP_STATUS_OVERVIEW_2026-07-19.md, the mobile parity audits, DEPLOY_NOW_HOSTINGER.md respectively). Recommend adding a one-line "superseded by X" banner to each rather than deleting, so historical links don't break.</w:t>
      </w:r>
    </w:p>
    <w:p>
      <w:pPr>
        <w:pStyle w:val="Heading2"/>
        <w:spacing w:after="150" w:before="300"/>
      </w:pPr>
      <w:r>
        <w:t xml:space="preserve">Duplicate/contradiction pairs resolved by this document</w:t>
      </w:r>
    </w:p>
    <w:p>
      <w:pPr>
        <w:pStyle w:val="ListParagraph"/>
        <w:numPr>
          <w:ilvl w:val="0"/>
          <w:numId w:val="1"/>
        </w:numPr>
        <w:spacing w:after="60"/>
      </w:pPr>
      <w:r>
        <w:t xml:space="preserve">Two different "P0-P8" numbering schemes existed (Patient Journey V1.1 vs. the historical PRE/Communication build) — resolved in Section 3 as Layer 2 vs. Layer 3, never to be conflated again.</w:t>
      </w:r>
    </w:p>
    <w:p>
      <w:pPr>
        <w:pStyle w:val="ListParagraph"/>
        <w:numPr>
          <w:ilvl w:val="0"/>
          <w:numId w:val="1"/>
        </w:numPr>
        <w:spacing w:after="60"/>
      </w:pPr>
      <w:r>
        <w:t xml:space="preserve">Accepted-plan vocabulary: "Converted" (2026-07-15 doc) vs. "Committed" (later frozen contract + Slice 2.3) — the later, frozen vocabulary (Committed) governs; verify the 07-15-era code was actually updated to match.</w:t>
      </w:r>
    </w:p>
    <w:p>
      <w:pPr>
        <w:pStyle w:val="ListParagraph"/>
        <w:numPr>
          <w:ilvl w:val="0"/>
          <w:numId w:val="1"/>
        </w:numPr>
        <w:spacing w:after="60"/>
      </w:pPr>
      <w:r>
        <w:t xml:space="preserve">Reviews: one doc declares Phase B "complete"; the Product Audit Dashboard (13 days later) finds it wired to the parked Meta API, unreachable — the audit finding governs, see Launch Readiness P1.</w:t>
      </w:r>
    </w:p>
    <w:p>
      <w:pPr>
        <w:pStyle w:val="ListParagraph"/>
        <w:numPr>
          <w:ilvl w:val="0"/>
          <w:numId w:val="1"/>
        </w:numPr>
        <w:spacing w:after="60"/>
      </w:pPr>
      <w:r>
        <w:t xml:space="preserve">Case Acceptance Engine vs. Smart Treatment Presentation: MEMORY.md says the former replaces the latter; the latter's own file shows a fully-built, still-referenced module — unresolved, escalated to Section 8.</w:t>
      </w:r>
    </w:p>
    <w:p>
      <w:r>
        <w:br w:type="page"/>
      </w:r>
    </w:p>
    <w:p>
      <w:pPr>
        <w:pStyle w:val="Heading1"/>
        <w:spacing w:after="200" w:before="400"/>
      </w:pPr>
      <w:r>
        <w:t xml:space="preserve">10. Immediate Next Action</w:t>
      </w:r>
    </w:p>
    <w:p>
      <w:pPr>
        <w:spacing w:after="120"/>
      </w:pPr>
      <w:r>
        <w:t xml:space="preserve">Single next step, in priority order, no ambiguity:</w:t>
      </w:r>
    </w:p>
    <w:p>
      <w:pPr>
        <w:spacing w:after="150"/>
      </w:pPr>
      <w:r>
        <w:rPr>
          <w:b/>
          <w:bCs/>
        </w:rPr>
        <w:t xml:space="preserve">1. </w:t>
      </w:r>
      <w:r>
        <w:t xml:space="preserve">Close Slice 2.3 (Decisions): push the 5 local-only commits, deploy, run the CEO browser retest, freeze. It has been sitting complete-but-unpushed the longest of any current-phase work.</w:t>
      </w:r>
    </w:p>
    <w:p>
      <w:pPr>
        <w:spacing w:after="150"/>
      </w:pPr>
      <w:r>
        <w:rPr>
          <w:b/>
          <w:bCs/>
        </w:rPr>
        <w:t xml:space="preserve">2. </w:t>
      </w:r>
      <w:r>
        <w:t xml:space="preserve">Resolve the Slice 2.4 data-readiness gate before deploying it — zero work_outcome rows exist in production, so pushing code with no adoption plan just ships a silent no-op. Decide the staff-adoption trigger first.</w:t>
      </w:r>
    </w:p>
    <w:p>
      <w:pPr>
        <w:spacing w:after="150"/>
      </w:pPr>
      <w:r>
        <w:rPr>
          <w:b/>
          <w:bCs/>
        </w:rPr>
        <w:t xml:space="preserve">3. </w:t>
      </w:r>
      <w:r>
        <w:t xml:space="preserve">In parallel (does not block the above): commit and deploy the finished-but-stranded WhatsApp Click-to-Chat engine — it is the fastest available win sitting fully built on a local machine.</w:t>
      </w:r>
    </w:p>
    <w:p>
      <w:pPr>
        <w:spacing w:after="150"/>
      </w:pPr>
      <w:r>
        <w:rPr>
          <w:b/>
          <w:bCs/>
        </w:rPr>
        <w:t xml:space="preserve">4. </w:t>
      </w:r>
      <w:r>
        <w:t xml:space="preserve">Schedule (does not need to start today, but needs a date): a real-data test pass on the entire 2026-07-14 Hardening Sprint. This is the single largest pile of untested, high-stakes code in the app and it has been sitting since mid-July.</w:t>
      </w:r>
    </w:p>
    <w:p>
      <w:pPr>
        <w:spacing w:after="120"/>
      </w:pPr>
      <w:r>
        <w:rPr>
          <w:b/>
          <w:bCs/>
          <w:i/>
          <w:iCs/>
        </w:rPr>
        <w:t xml:space="preserve">Everything else in this document — V1.5 and beyond, the future backlog, the archive reconciliation — waits. That is the point of freezing the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2026-07-30T08:26:28.159Z</dcterms:created>
  <dcterms:modified xsi:type="dcterms:W3CDTF">2026-07-30T08:26:28.159Z</dcterms:modified>
</cp:coreProperties>
</file>

<file path=docProps/custom.xml><?xml version="1.0" encoding="utf-8"?>
<Properties xmlns="http://schemas.openxmlformats.org/officeDocument/2006/custom-properties" xmlns:vt="http://schemas.openxmlformats.org/officeDocument/2006/docPropsVTypes"/>
</file>