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BF5053" w14:textId="77777777" w:rsidR="006E446C" w:rsidRPr="006E446C" w:rsidRDefault="006E446C" w:rsidP="004C39C7">
      <w:pPr>
        <w:spacing w:line="360" w:lineRule="auto"/>
        <w:jc w:val="center"/>
        <w:rPr>
          <w:b/>
          <w:bCs/>
          <w:sz w:val="28"/>
          <w:szCs w:val="28"/>
        </w:rPr>
      </w:pPr>
      <w:r w:rsidRPr="006E446C">
        <w:rPr>
          <w:b/>
          <w:bCs/>
          <w:sz w:val="28"/>
          <w:szCs w:val="28"/>
        </w:rPr>
        <w:t>Avaliação – Harmonias Cromáticas</w:t>
      </w:r>
    </w:p>
    <w:p w14:paraId="33795D84" w14:textId="2B875781" w:rsidR="006E446C" w:rsidRPr="007F18C6" w:rsidRDefault="006E446C" w:rsidP="004C39C7">
      <w:pPr>
        <w:spacing w:line="360" w:lineRule="auto"/>
        <w:rPr>
          <w:b/>
          <w:bCs/>
          <w:sz w:val="24"/>
          <w:szCs w:val="24"/>
        </w:rPr>
      </w:pPr>
      <w:r w:rsidRPr="006E446C">
        <w:rPr>
          <w:b/>
          <w:bCs/>
          <w:sz w:val="24"/>
          <w:szCs w:val="24"/>
        </w:rPr>
        <w:t>Disciplina:</w:t>
      </w:r>
      <w:r w:rsidR="007F18C6">
        <w:rPr>
          <w:bCs/>
          <w:sz w:val="24"/>
          <w:szCs w:val="24"/>
        </w:rPr>
        <w:t>PW 1</w:t>
      </w:r>
      <w:r w:rsidRPr="006E446C">
        <w:rPr>
          <w:sz w:val="24"/>
          <w:szCs w:val="24"/>
        </w:rPr>
        <w:br/>
      </w:r>
      <w:r w:rsidRPr="006E446C">
        <w:rPr>
          <w:b/>
          <w:bCs/>
          <w:sz w:val="24"/>
          <w:szCs w:val="24"/>
        </w:rPr>
        <w:t>Aluno(a):</w:t>
      </w:r>
      <w:r w:rsidR="00C001E1">
        <w:rPr>
          <w:sz w:val="24"/>
          <w:szCs w:val="24"/>
        </w:rPr>
        <w:t xml:space="preserve"> Sara Góes Prata</w:t>
      </w:r>
      <w:r w:rsidRPr="006E446C">
        <w:rPr>
          <w:sz w:val="24"/>
          <w:szCs w:val="24"/>
        </w:rPr>
        <w:br/>
      </w:r>
      <w:r w:rsidRPr="006E446C">
        <w:rPr>
          <w:b/>
          <w:bCs/>
          <w:sz w:val="24"/>
          <w:szCs w:val="24"/>
        </w:rPr>
        <w:t>Data:</w:t>
      </w:r>
      <w:r w:rsidR="007F18C6">
        <w:rPr>
          <w:bCs/>
          <w:sz w:val="24"/>
          <w:szCs w:val="24"/>
        </w:rPr>
        <w:t>12/03/2026</w:t>
      </w:r>
      <w:r w:rsidRPr="006E446C">
        <w:rPr>
          <w:sz w:val="24"/>
          <w:szCs w:val="24"/>
        </w:rPr>
        <w:br/>
      </w:r>
      <w:r w:rsidRPr="006E446C">
        <w:rPr>
          <w:b/>
          <w:bCs/>
          <w:sz w:val="24"/>
          <w:szCs w:val="24"/>
        </w:rPr>
        <w:t>Valor total: 10,0 pontos</w:t>
      </w:r>
    </w:p>
    <w:p w14:paraId="520550DE" w14:textId="77777777" w:rsidR="006E446C" w:rsidRPr="006E446C" w:rsidRDefault="00B1697E" w:rsidP="004C39C7">
      <w:pPr>
        <w:spacing w:line="360" w:lineRule="auto"/>
      </w:pPr>
      <w:r>
        <w:pict w14:anchorId="4A54706A">
          <v:rect id="_x0000_i1025" style="width:0;height:1.5pt" o:hralign="center" o:hrstd="t" o:hr="t" fillcolor="#a0a0a0" stroked="f"/>
        </w:pict>
      </w:r>
    </w:p>
    <w:p w14:paraId="30FC2C2A"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Parte 1 – Conceitos (4,0 pontos)</w:t>
      </w:r>
    </w:p>
    <w:p w14:paraId="55372717" w14:textId="77777777" w:rsidR="006E446C" w:rsidRPr="006E446C" w:rsidRDefault="006E446C" w:rsidP="004C39C7">
      <w:pPr>
        <w:spacing w:line="360" w:lineRule="auto"/>
        <w:rPr>
          <w:sz w:val="24"/>
          <w:szCs w:val="24"/>
        </w:rPr>
      </w:pPr>
      <w:r w:rsidRPr="006E446C">
        <w:rPr>
          <w:sz w:val="24"/>
          <w:szCs w:val="24"/>
        </w:rPr>
        <w:t>Responda de forma clara e objetiva:</w:t>
      </w:r>
    </w:p>
    <w:p w14:paraId="211FBF20" w14:textId="280A0166" w:rsidR="002B74E0" w:rsidRPr="002B74E0" w:rsidRDefault="006E446C" w:rsidP="002B74E0">
      <w:pPr>
        <w:numPr>
          <w:ilvl w:val="0"/>
          <w:numId w:val="1"/>
        </w:numPr>
        <w:spacing w:line="360" w:lineRule="auto"/>
        <w:rPr>
          <w:sz w:val="24"/>
          <w:szCs w:val="24"/>
        </w:rPr>
      </w:pPr>
      <w:r w:rsidRPr="006E446C">
        <w:rPr>
          <w:b/>
          <w:bCs/>
          <w:sz w:val="24"/>
          <w:szCs w:val="24"/>
        </w:rPr>
        <w:t>Cores Complementares</w:t>
      </w:r>
      <w:r w:rsidRPr="006E446C">
        <w:rPr>
          <w:sz w:val="24"/>
          <w:szCs w:val="24"/>
        </w:rPr>
        <w:t xml:space="preserve"> (0,5)</w:t>
      </w:r>
    </w:p>
    <w:p w14:paraId="163515C2" w14:textId="527CBF0D" w:rsidR="006E446C" w:rsidRPr="002B74E0" w:rsidRDefault="002B74E0" w:rsidP="004C39C7">
      <w:pPr>
        <w:numPr>
          <w:ilvl w:val="1"/>
          <w:numId w:val="1"/>
        </w:numPr>
        <w:spacing w:line="360" w:lineRule="auto"/>
        <w:rPr>
          <w:sz w:val="24"/>
          <w:szCs w:val="24"/>
        </w:rPr>
      </w:pPr>
      <w:r>
        <w:rPr>
          <w:sz w:val="24"/>
          <w:szCs w:val="24"/>
        </w:rPr>
        <w:t>Definição correta (0,3)</w:t>
      </w:r>
    </w:p>
    <w:p w14:paraId="3008E886" w14:textId="1E2923B4" w:rsidR="002B74E0" w:rsidRPr="002B74E0" w:rsidRDefault="002B74E0" w:rsidP="002B74E0">
      <w:pPr>
        <w:numPr>
          <w:ilvl w:val="1"/>
          <w:numId w:val="1"/>
        </w:numPr>
        <w:spacing w:line="360" w:lineRule="auto"/>
        <w:rPr>
          <w:sz w:val="24"/>
          <w:szCs w:val="24"/>
        </w:rPr>
      </w:pPr>
      <w:r>
        <w:t>São pares de cores que tem o posicionamento oposto no círculo crómatico</w:t>
      </w:r>
    </w:p>
    <w:p w14:paraId="0D907950" w14:textId="241CF64F" w:rsidR="006E446C" w:rsidRDefault="006E446C" w:rsidP="004C39C7">
      <w:pPr>
        <w:numPr>
          <w:ilvl w:val="1"/>
          <w:numId w:val="1"/>
        </w:numPr>
        <w:spacing w:line="360" w:lineRule="auto"/>
        <w:rPr>
          <w:sz w:val="24"/>
          <w:szCs w:val="24"/>
        </w:rPr>
      </w:pPr>
      <w:r w:rsidRPr="006E446C">
        <w:rPr>
          <w:sz w:val="24"/>
          <w:szCs w:val="24"/>
        </w:rPr>
        <w:t>Explicação da posição no círculo cromático (0,2)</w:t>
      </w:r>
    </w:p>
    <w:p w14:paraId="0621FF68" w14:textId="23D42C4D" w:rsidR="002B74E0" w:rsidRDefault="002B74E0" w:rsidP="004C39C7">
      <w:pPr>
        <w:numPr>
          <w:ilvl w:val="1"/>
          <w:numId w:val="1"/>
        </w:numPr>
        <w:spacing w:line="360" w:lineRule="auto"/>
        <w:rPr>
          <w:sz w:val="24"/>
          <w:szCs w:val="24"/>
        </w:rPr>
      </w:pPr>
      <w:r>
        <w:rPr>
          <w:rFonts w:ascii="Arial" w:hAnsi="Arial" w:cs="Arial"/>
          <w:color w:val="0A0A0A"/>
          <w:shd w:val="clear" w:color="auto" w:fill="FFFFFF"/>
        </w:rPr>
        <w:t>O círculo cromático é uma representação ordenada e circular de 12 cores, que serve como guia para harmonizar cores</w:t>
      </w:r>
    </w:p>
    <w:p w14:paraId="7A8AB0A0" w14:textId="77777777" w:rsidR="006E446C" w:rsidRPr="006E446C" w:rsidRDefault="006E446C" w:rsidP="004C39C7">
      <w:pPr>
        <w:numPr>
          <w:ilvl w:val="0"/>
          <w:numId w:val="1"/>
        </w:numPr>
        <w:spacing w:line="360" w:lineRule="auto"/>
        <w:rPr>
          <w:sz w:val="24"/>
          <w:szCs w:val="24"/>
        </w:rPr>
      </w:pPr>
      <w:r w:rsidRPr="006E446C">
        <w:rPr>
          <w:b/>
          <w:bCs/>
          <w:sz w:val="24"/>
          <w:szCs w:val="24"/>
        </w:rPr>
        <w:t>Cores Análogas</w:t>
      </w:r>
      <w:r w:rsidRPr="006E446C">
        <w:rPr>
          <w:sz w:val="24"/>
          <w:szCs w:val="24"/>
        </w:rPr>
        <w:t xml:space="preserve"> (0,5)</w:t>
      </w:r>
    </w:p>
    <w:p w14:paraId="35A6DDAA" w14:textId="67D9C3A4" w:rsidR="006E446C" w:rsidRDefault="006E446C" w:rsidP="004C39C7">
      <w:pPr>
        <w:numPr>
          <w:ilvl w:val="1"/>
          <w:numId w:val="1"/>
        </w:numPr>
        <w:spacing w:line="360" w:lineRule="auto"/>
        <w:rPr>
          <w:sz w:val="24"/>
          <w:szCs w:val="24"/>
        </w:rPr>
      </w:pPr>
      <w:r w:rsidRPr="006E446C">
        <w:rPr>
          <w:sz w:val="24"/>
          <w:szCs w:val="24"/>
        </w:rPr>
        <w:t>Definição correta (0,3)</w:t>
      </w:r>
    </w:p>
    <w:p w14:paraId="2833634A" w14:textId="764FF693" w:rsidR="002B74E0" w:rsidRPr="006E446C" w:rsidRDefault="002B74E0" w:rsidP="004C39C7">
      <w:pPr>
        <w:numPr>
          <w:ilvl w:val="1"/>
          <w:numId w:val="1"/>
        </w:numPr>
        <w:spacing w:line="360" w:lineRule="auto"/>
        <w:rPr>
          <w:sz w:val="24"/>
          <w:szCs w:val="24"/>
        </w:rPr>
      </w:pPr>
      <w:r>
        <w:rPr>
          <w:rFonts w:ascii="Arial" w:hAnsi="Arial" w:cs="Arial"/>
          <w:color w:val="0A0A0A"/>
          <w:shd w:val="clear" w:color="auto" w:fill="FFFFFF"/>
        </w:rPr>
        <w:t>Cores análogas são </w:t>
      </w:r>
      <w:r>
        <w:t>grupos de 2 a 4 cores vizinhas no círculo cromático, que compartilham uma cor base semelhante</w:t>
      </w:r>
    </w:p>
    <w:p w14:paraId="5D92A031" w14:textId="1DB44FA2" w:rsidR="006E446C" w:rsidRDefault="006E446C" w:rsidP="004C39C7">
      <w:pPr>
        <w:numPr>
          <w:ilvl w:val="1"/>
          <w:numId w:val="1"/>
        </w:numPr>
        <w:spacing w:line="360" w:lineRule="auto"/>
        <w:rPr>
          <w:sz w:val="24"/>
          <w:szCs w:val="24"/>
        </w:rPr>
      </w:pPr>
      <w:r w:rsidRPr="006E446C">
        <w:rPr>
          <w:sz w:val="24"/>
          <w:szCs w:val="24"/>
        </w:rPr>
        <w:t>Explicação da posição no círculo cromático (0,2)</w:t>
      </w:r>
    </w:p>
    <w:p w14:paraId="295FB32C" w14:textId="6A7A108C" w:rsidR="002B74E0" w:rsidRPr="002B74E0" w:rsidRDefault="002B74E0" w:rsidP="002B74E0">
      <w:pPr>
        <w:numPr>
          <w:ilvl w:val="1"/>
          <w:numId w:val="1"/>
        </w:numPr>
        <w:spacing w:line="360" w:lineRule="auto"/>
        <w:rPr>
          <w:sz w:val="24"/>
          <w:szCs w:val="24"/>
        </w:rPr>
      </w:pPr>
      <w:r>
        <w:rPr>
          <w:rFonts w:ascii="Arial" w:hAnsi="Arial" w:cs="Arial"/>
          <w:color w:val="0A0A0A"/>
          <w:shd w:val="clear" w:color="auto" w:fill="FFFFFF"/>
        </w:rPr>
        <w:t>O círculo cromático é uma representação ordenada e circular de 12 cores, que serve como guia para harmonizar cores</w:t>
      </w:r>
    </w:p>
    <w:p w14:paraId="5D18650B" w14:textId="77777777" w:rsidR="006E446C" w:rsidRPr="006E446C" w:rsidRDefault="006E446C" w:rsidP="004C39C7">
      <w:pPr>
        <w:numPr>
          <w:ilvl w:val="0"/>
          <w:numId w:val="1"/>
        </w:numPr>
        <w:spacing w:line="360" w:lineRule="auto"/>
        <w:rPr>
          <w:sz w:val="24"/>
          <w:szCs w:val="24"/>
        </w:rPr>
      </w:pPr>
      <w:r w:rsidRPr="006E446C">
        <w:rPr>
          <w:b/>
          <w:bCs/>
          <w:sz w:val="24"/>
          <w:szCs w:val="24"/>
        </w:rPr>
        <w:t>Cores Análogas + uma Complementar</w:t>
      </w:r>
      <w:r w:rsidRPr="006E446C">
        <w:rPr>
          <w:sz w:val="24"/>
          <w:szCs w:val="24"/>
        </w:rPr>
        <w:t xml:space="preserve"> (0,5)</w:t>
      </w:r>
    </w:p>
    <w:p w14:paraId="0BE950C2" w14:textId="2F1A5ED4" w:rsidR="006E446C" w:rsidRDefault="006E446C" w:rsidP="004C39C7">
      <w:pPr>
        <w:numPr>
          <w:ilvl w:val="1"/>
          <w:numId w:val="1"/>
        </w:numPr>
        <w:spacing w:line="360" w:lineRule="auto"/>
        <w:rPr>
          <w:sz w:val="24"/>
          <w:szCs w:val="24"/>
        </w:rPr>
      </w:pPr>
      <w:r w:rsidRPr="006E446C">
        <w:rPr>
          <w:sz w:val="24"/>
          <w:szCs w:val="24"/>
        </w:rPr>
        <w:t>Explicação correta da formação (0,3)</w:t>
      </w:r>
    </w:p>
    <w:p w14:paraId="21B4ABAE" w14:textId="349CAA38" w:rsidR="00C4683C" w:rsidRPr="006E446C" w:rsidRDefault="00C4683C" w:rsidP="004C39C7">
      <w:pPr>
        <w:numPr>
          <w:ilvl w:val="1"/>
          <w:numId w:val="1"/>
        </w:numPr>
        <w:spacing w:line="360" w:lineRule="auto"/>
        <w:rPr>
          <w:sz w:val="24"/>
          <w:szCs w:val="24"/>
        </w:rPr>
      </w:pPr>
      <w:r>
        <w:t>Cores análogas são vizinhas no </w:t>
      </w:r>
      <w:r>
        <w:rPr>
          <w:rFonts w:ascii="Arial" w:hAnsi="Arial" w:cs="Arial"/>
          <w:color w:val="001D35"/>
        </w:rPr>
        <w:t>círculo cromático</w:t>
      </w:r>
      <w:r>
        <w:t xml:space="preserve"> (ex: azul, azul-esverdeado e verde), criando harmonia suave. Adicionar uma cor complementar (oposta, ex: </w:t>
      </w:r>
      <w:r>
        <w:lastRenderedPageBreak/>
        <w:t>l</w:t>
      </w:r>
      <w:r>
        <w:t>aranja) introduz um contraste vibrante, destacando o ponto focal da composição</w:t>
      </w:r>
      <w:r>
        <w:rPr>
          <w:rFonts w:ascii="Arial" w:hAnsi="Arial" w:cs="Arial"/>
          <w:color w:val="0A0A0A"/>
          <w:shd w:val="clear" w:color="auto" w:fill="FFFFFF"/>
        </w:rPr>
        <w:t>.</w:t>
      </w:r>
    </w:p>
    <w:p w14:paraId="10CBDC53" w14:textId="793AF192" w:rsidR="006E446C" w:rsidRDefault="006E446C" w:rsidP="004C39C7">
      <w:pPr>
        <w:numPr>
          <w:ilvl w:val="1"/>
          <w:numId w:val="1"/>
        </w:numPr>
        <w:spacing w:line="360" w:lineRule="auto"/>
        <w:rPr>
          <w:sz w:val="24"/>
          <w:szCs w:val="24"/>
        </w:rPr>
      </w:pPr>
      <w:r w:rsidRPr="006E446C">
        <w:rPr>
          <w:sz w:val="24"/>
          <w:szCs w:val="24"/>
        </w:rPr>
        <w:t>Efeito visual descrito (0,2)</w:t>
      </w:r>
    </w:p>
    <w:p w14:paraId="655255F6" w14:textId="78A58952" w:rsidR="00C4683C" w:rsidRPr="006E446C" w:rsidRDefault="00C4683C" w:rsidP="00C4683C">
      <w:pPr>
        <w:numPr>
          <w:ilvl w:val="1"/>
          <w:numId w:val="1"/>
        </w:numPr>
        <w:spacing w:line="360" w:lineRule="auto"/>
        <w:rPr>
          <w:sz w:val="24"/>
          <w:szCs w:val="24"/>
        </w:rPr>
      </w:pPr>
      <w:r w:rsidRPr="00C4683C">
        <w:rPr>
          <w:sz w:val="24"/>
          <w:szCs w:val="24"/>
        </w:rPr>
        <w:t>A combinação de cores análogas (vizinhas no círculo cromático) com uma complementar (oposta) cria um efeito visual de harmonia equilibrada com um ponto focal de alto contraste. A base análoga traz suavidade e fluidez, enquanto a cor complementar adiciona energia, vibração e destaca elementos específicos</w:t>
      </w:r>
    </w:p>
    <w:p w14:paraId="77D01851" w14:textId="77777777" w:rsidR="006E446C" w:rsidRPr="006E446C" w:rsidRDefault="006E446C" w:rsidP="004C39C7">
      <w:pPr>
        <w:numPr>
          <w:ilvl w:val="0"/>
          <w:numId w:val="1"/>
        </w:numPr>
        <w:spacing w:line="360" w:lineRule="auto"/>
        <w:rPr>
          <w:sz w:val="24"/>
          <w:szCs w:val="24"/>
        </w:rPr>
      </w:pPr>
      <w:r w:rsidRPr="006E446C">
        <w:rPr>
          <w:b/>
          <w:bCs/>
          <w:sz w:val="24"/>
          <w:szCs w:val="24"/>
        </w:rPr>
        <w:t>Cores Análogas Relacionadas</w:t>
      </w:r>
      <w:r w:rsidRPr="006E446C">
        <w:rPr>
          <w:sz w:val="24"/>
          <w:szCs w:val="24"/>
        </w:rPr>
        <w:t xml:space="preserve"> (0,5)</w:t>
      </w:r>
    </w:p>
    <w:p w14:paraId="0541D62A" w14:textId="01920DCC" w:rsidR="006E446C" w:rsidRDefault="006E446C" w:rsidP="004C39C7">
      <w:pPr>
        <w:numPr>
          <w:ilvl w:val="1"/>
          <w:numId w:val="1"/>
        </w:numPr>
        <w:spacing w:line="360" w:lineRule="auto"/>
        <w:rPr>
          <w:sz w:val="24"/>
          <w:szCs w:val="24"/>
        </w:rPr>
      </w:pPr>
      <w:r w:rsidRPr="006E446C">
        <w:rPr>
          <w:sz w:val="24"/>
          <w:szCs w:val="24"/>
        </w:rPr>
        <w:t>Conceito correto (0,3)</w:t>
      </w:r>
    </w:p>
    <w:p w14:paraId="5B27FA17" w14:textId="05538F57" w:rsidR="00C4683C" w:rsidRPr="006E446C" w:rsidRDefault="00C4683C" w:rsidP="00C4683C">
      <w:pPr>
        <w:numPr>
          <w:ilvl w:val="1"/>
          <w:numId w:val="1"/>
        </w:numPr>
        <w:spacing w:line="360" w:lineRule="auto"/>
        <w:rPr>
          <w:sz w:val="24"/>
          <w:szCs w:val="24"/>
        </w:rPr>
      </w:pPr>
      <w:r w:rsidRPr="00C4683C">
        <w:rPr>
          <w:sz w:val="24"/>
          <w:szCs w:val="24"/>
        </w:rPr>
        <w:t>Cores análogas são tons vizinhos no círculo cromático, situados lado a lado, que compartilham uma cor base comum. Essa proximidade cria uma harmonia visual suave, coesa e de baixo contraste</w:t>
      </w:r>
    </w:p>
    <w:p w14:paraId="49C1AAC0" w14:textId="71AEBD1E" w:rsidR="006E446C" w:rsidRDefault="006E446C" w:rsidP="004C39C7">
      <w:pPr>
        <w:numPr>
          <w:ilvl w:val="1"/>
          <w:numId w:val="1"/>
        </w:numPr>
        <w:spacing w:line="360" w:lineRule="auto"/>
        <w:rPr>
          <w:sz w:val="24"/>
          <w:szCs w:val="24"/>
        </w:rPr>
      </w:pPr>
      <w:r w:rsidRPr="006E446C">
        <w:rPr>
          <w:sz w:val="24"/>
          <w:szCs w:val="24"/>
        </w:rPr>
        <w:t>Diferença em relação às análogas simples (0,2)</w:t>
      </w:r>
    </w:p>
    <w:p w14:paraId="579A10CC" w14:textId="31C6C949" w:rsidR="00C4683C" w:rsidRPr="006E446C" w:rsidRDefault="00C4683C" w:rsidP="00C4683C">
      <w:pPr>
        <w:numPr>
          <w:ilvl w:val="1"/>
          <w:numId w:val="1"/>
        </w:numPr>
        <w:spacing w:line="360" w:lineRule="auto"/>
        <w:rPr>
          <w:sz w:val="24"/>
          <w:szCs w:val="24"/>
        </w:rPr>
      </w:pPr>
      <w:r w:rsidRPr="00C4683C">
        <w:rPr>
          <w:sz w:val="24"/>
          <w:szCs w:val="24"/>
        </w:rPr>
        <w:t>A principal diferença reside no grau de parentesco e na transição tonal. Cores análogas simples são três vizinhas diretas no círculo cromático, gerando harmonia direta (ex: azul, azul-esverdeado, verde). Cores análogas relacionadas utilizam cores vizinhas que compartilham uma cor base comum ou tons mais próximos, criando uma transição mais suave, sutil e unificada</w:t>
      </w:r>
    </w:p>
    <w:p w14:paraId="25C06902" w14:textId="77777777" w:rsidR="006E446C" w:rsidRPr="006E446C" w:rsidRDefault="006E446C" w:rsidP="004C39C7">
      <w:pPr>
        <w:numPr>
          <w:ilvl w:val="0"/>
          <w:numId w:val="1"/>
        </w:numPr>
        <w:spacing w:line="360" w:lineRule="auto"/>
        <w:rPr>
          <w:sz w:val="24"/>
          <w:szCs w:val="24"/>
        </w:rPr>
      </w:pPr>
      <w:r w:rsidRPr="006E446C">
        <w:rPr>
          <w:b/>
          <w:bCs/>
          <w:sz w:val="24"/>
          <w:szCs w:val="24"/>
        </w:rPr>
        <w:t>Cores Intercaladas</w:t>
      </w:r>
      <w:r w:rsidRPr="006E446C">
        <w:rPr>
          <w:sz w:val="24"/>
          <w:szCs w:val="24"/>
        </w:rPr>
        <w:t xml:space="preserve"> (0,5)</w:t>
      </w:r>
    </w:p>
    <w:p w14:paraId="618942B9" w14:textId="16BA3AE1" w:rsidR="006E446C" w:rsidRDefault="006E446C" w:rsidP="004C39C7">
      <w:pPr>
        <w:numPr>
          <w:ilvl w:val="1"/>
          <w:numId w:val="1"/>
        </w:numPr>
        <w:spacing w:line="360" w:lineRule="auto"/>
        <w:rPr>
          <w:sz w:val="24"/>
          <w:szCs w:val="24"/>
        </w:rPr>
      </w:pPr>
      <w:r w:rsidRPr="006E446C">
        <w:rPr>
          <w:sz w:val="24"/>
          <w:szCs w:val="24"/>
        </w:rPr>
        <w:t>Definição correta (0,3)</w:t>
      </w:r>
    </w:p>
    <w:p w14:paraId="01718576" w14:textId="3322C80C" w:rsidR="002B74E0" w:rsidRPr="006E446C" w:rsidRDefault="002B74E0" w:rsidP="004C39C7">
      <w:pPr>
        <w:numPr>
          <w:ilvl w:val="1"/>
          <w:numId w:val="1"/>
        </w:numPr>
        <w:spacing w:line="360" w:lineRule="auto"/>
        <w:rPr>
          <w:sz w:val="24"/>
          <w:szCs w:val="24"/>
        </w:rPr>
      </w:pPr>
      <w:r>
        <w:rPr>
          <w:rFonts w:ascii="Arial" w:hAnsi="Arial" w:cs="Arial"/>
          <w:color w:val="0A0A0A"/>
          <w:shd w:val="clear" w:color="auto" w:fill="FFFFFF"/>
        </w:rPr>
        <w:t>Cores intercaladas referem-se a uma técnica visual onde cores diferentes são aplicadas de forma sequencial e alternada, geralmente com um padrão de espaçamento entre elas, por exemplo:cor X, cor Y, cor X, cor Y</w:t>
      </w:r>
    </w:p>
    <w:p w14:paraId="11C8BADC" w14:textId="77777777" w:rsidR="00F25F74" w:rsidRDefault="006E446C" w:rsidP="00C4683C">
      <w:pPr>
        <w:numPr>
          <w:ilvl w:val="1"/>
          <w:numId w:val="1"/>
        </w:numPr>
        <w:spacing w:line="360" w:lineRule="auto"/>
        <w:rPr>
          <w:sz w:val="24"/>
          <w:szCs w:val="24"/>
        </w:rPr>
      </w:pPr>
      <w:r w:rsidRPr="006E446C">
        <w:rPr>
          <w:sz w:val="24"/>
          <w:szCs w:val="24"/>
        </w:rPr>
        <w:t>Efeito visual descrito (0,2)</w:t>
      </w:r>
    </w:p>
    <w:p w14:paraId="266F5E4F" w14:textId="2DF7AD86" w:rsidR="002B74E0" w:rsidRPr="00C4683C" w:rsidRDefault="00C4683C" w:rsidP="00C4683C">
      <w:pPr>
        <w:numPr>
          <w:ilvl w:val="1"/>
          <w:numId w:val="1"/>
        </w:numPr>
        <w:spacing w:line="360" w:lineRule="auto"/>
        <w:rPr>
          <w:sz w:val="24"/>
          <w:szCs w:val="24"/>
        </w:rPr>
      </w:pPr>
      <w:r w:rsidRPr="00C4683C">
        <w:rPr>
          <w:sz w:val="24"/>
          <w:szCs w:val="24"/>
        </w:rPr>
        <w:lastRenderedPageBreak/>
        <w:t>A intercalação de cores cria efeitos visuais de dinamismo, ritmo e contraste, essenciais para alterar a percepção de um ambiente ou arte. Essa técnica pode gerar vibração intensa com cores complementares (opostas) ou harmonia suave com cores análogas (próximas), influenciando a luminosidade e a saturação percebida.</w:t>
      </w:r>
    </w:p>
    <w:p w14:paraId="29251FA0" w14:textId="77777777" w:rsidR="006E446C" w:rsidRPr="006E446C" w:rsidRDefault="006E446C" w:rsidP="004C39C7">
      <w:pPr>
        <w:numPr>
          <w:ilvl w:val="0"/>
          <w:numId w:val="1"/>
        </w:numPr>
        <w:spacing w:line="360" w:lineRule="auto"/>
        <w:rPr>
          <w:sz w:val="24"/>
          <w:szCs w:val="24"/>
        </w:rPr>
      </w:pPr>
      <w:r w:rsidRPr="006E446C">
        <w:rPr>
          <w:b/>
          <w:bCs/>
          <w:sz w:val="24"/>
          <w:szCs w:val="24"/>
        </w:rPr>
        <w:t>Cores Triádicas</w:t>
      </w:r>
      <w:r w:rsidRPr="006E446C">
        <w:rPr>
          <w:sz w:val="24"/>
          <w:szCs w:val="24"/>
        </w:rPr>
        <w:t xml:space="preserve"> (0,5)</w:t>
      </w:r>
    </w:p>
    <w:p w14:paraId="103B0582" w14:textId="733FEE91" w:rsidR="006E446C" w:rsidRDefault="006E446C" w:rsidP="004C39C7">
      <w:pPr>
        <w:numPr>
          <w:ilvl w:val="1"/>
          <w:numId w:val="1"/>
        </w:numPr>
        <w:spacing w:line="360" w:lineRule="auto"/>
        <w:rPr>
          <w:sz w:val="24"/>
          <w:szCs w:val="24"/>
        </w:rPr>
      </w:pPr>
      <w:r w:rsidRPr="006E446C">
        <w:rPr>
          <w:sz w:val="24"/>
          <w:szCs w:val="24"/>
        </w:rPr>
        <w:t>Formação correta no círculo cromático (0,3)</w:t>
      </w:r>
    </w:p>
    <w:p w14:paraId="76B03419" w14:textId="4FC40E2D" w:rsidR="008C4DBF" w:rsidRPr="006E446C" w:rsidRDefault="008C4DBF" w:rsidP="004C39C7">
      <w:pPr>
        <w:numPr>
          <w:ilvl w:val="1"/>
          <w:numId w:val="1"/>
        </w:numPr>
        <w:spacing w:line="360" w:lineRule="auto"/>
        <w:rPr>
          <w:sz w:val="24"/>
          <w:szCs w:val="24"/>
        </w:rPr>
      </w:pPr>
      <w:r>
        <w:t>A formação das </w:t>
      </w:r>
      <w:r>
        <w:rPr>
          <w:rStyle w:val="Forte"/>
          <w:rFonts w:ascii="Arial" w:hAnsi="Arial" w:cs="Arial"/>
          <w:color w:val="0A0A0A"/>
          <w:shd w:val="clear" w:color="auto" w:fill="FFFFFF"/>
        </w:rPr>
        <w:t>cores triádicas</w:t>
      </w:r>
      <w:r>
        <w:rPr>
          <w:rFonts w:ascii="Arial" w:hAnsi="Arial" w:cs="Arial"/>
          <w:color w:val="0A0A0A"/>
          <w:shd w:val="clear" w:color="auto" w:fill="FFFFFF"/>
        </w:rPr>
        <w:t> (ou tríade) no círculo cromático </w:t>
      </w:r>
      <w:r>
        <w:t>consiste na seleção de três cores que estão </w:t>
      </w:r>
      <w:r>
        <w:rPr>
          <w:rStyle w:val="Forte"/>
        </w:rPr>
        <w:t>equidistantes</w:t>
      </w:r>
      <w:r>
        <w:t> (à mesma distância) entre si, formando um </w:t>
      </w:r>
      <w:r>
        <w:rPr>
          <w:rStyle w:val="Forte"/>
        </w:rPr>
        <w:t>triângulo equilátero</w:t>
      </w:r>
      <w:r>
        <w:t> no círculo</w:t>
      </w:r>
    </w:p>
    <w:p w14:paraId="434F1189" w14:textId="5CB540D8" w:rsidR="006E446C" w:rsidRDefault="006E446C" w:rsidP="004C39C7">
      <w:pPr>
        <w:numPr>
          <w:ilvl w:val="1"/>
          <w:numId w:val="1"/>
        </w:numPr>
        <w:spacing w:line="360" w:lineRule="auto"/>
        <w:rPr>
          <w:sz w:val="24"/>
          <w:szCs w:val="24"/>
        </w:rPr>
      </w:pPr>
      <w:r w:rsidRPr="006E446C">
        <w:rPr>
          <w:sz w:val="24"/>
          <w:szCs w:val="24"/>
        </w:rPr>
        <w:t>Característica visual (0,2)</w:t>
      </w:r>
    </w:p>
    <w:p w14:paraId="30857DC7" w14:textId="361F3CBA" w:rsidR="00F25F74" w:rsidRPr="006E446C" w:rsidRDefault="00F25F74" w:rsidP="00F25F74">
      <w:pPr>
        <w:numPr>
          <w:ilvl w:val="1"/>
          <w:numId w:val="1"/>
        </w:numPr>
        <w:spacing w:line="360" w:lineRule="auto"/>
        <w:rPr>
          <w:sz w:val="24"/>
          <w:szCs w:val="24"/>
        </w:rPr>
      </w:pPr>
      <w:r w:rsidRPr="00F25F74">
        <w:rPr>
          <w:sz w:val="24"/>
          <w:szCs w:val="24"/>
        </w:rPr>
        <w:t>Cores triádicas criam alto contraste visual, vibrância e harmonia equilibrada ao utilizar três cores equidistantes no círculo cromático (formando um triângulo equilátero). Essa combinação é intensa e cheia de vida, mesmo quando se usam tons mais claros, garantindo que o design ou a composição pareça equilibrada e não confusa.</w:t>
      </w:r>
    </w:p>
    <w:p w14:paraId="4B608F48" w14:textId="77777777" w:rsidR="006E446C" w:rsidRPr="006E446C" w:rsidRDefault="006E446C" w:rsidP="004C39C7">
      <w:pPr>
        <w:numPr>
          <w:ilvl w:val="0"/>
          <w:numId w:val="1"/>
        </w:numPr>
        <w:spacing w:line="360" w:lineRule="auto"/>
        <w:rPr>
          <w:sz w:val="24"/>
          <w:szCs w:val="24"/>
        </w:rPr>
      </w:pPr>
      <w:r w:rsidRPr="006E446C">
        <w:rPr>
          <w:b/>
          <w:bCs/>
          <w:sz w:val="24"/>
          <w:szCs w:val="24"/>
        </w:rPr>
        <w:t>Cores em Quadrado</w:t>
      </w:r>
      <w:r w:rsidRPr="006E446C">
        <w:rPr>
          <w:sz w:val="24"/>
          <w:szCs w:val="24"/>
        </w:rPr>
        <w:t xml:space="preserve"> (0,5)</w:t>
      </w:r>
    </w:p>
    <w:p w14:paraId="5265A72E" w14:textId="6769791E" w:rsidR="006E446C" w:rsidRDefault="006E446C" w:rsidP="004C39C7">
      <w:pPr>
        <w:numPr>
          <w:ilvl w:val="1"/>
          <w:numId w:val="1"/>
        </w:numPr>
        <w:spacing w:line="360" w:lineRule="auto"/>
        <w:rPr>
          <w:sz w:val="24"/>
          <w:szCs w:val="24"/>
        </w:rPr>
      </w:pPr>
      <w:r w:rsidRPr="006E446C">
        <w:rPr>
          <w:sz w:val="24"/>
          <w:szCs w:val="24"/>
        </w:rPr>
        <w:t>Explicação da distribuição (0,3)</w:t>
      </w:r>
    </w:p>
    <w:p w14:paraId="54587406" w14:textId="36091F43" w:rsidR="00F25F74" w:rsidRPr="006E446C" w:rsidRDefault="00F25F74" w:rsidP="00F25F74">
      <w:pPr>
        <w:numPr>
          <w:ilvl w:val="1"/>
          <w:numId w:val="1"/>
        </w:numPr>
        <w:spacing w:line="360" w:lineRule="auto"/>
        <w:rPr>
          <w:sz w:val="24"/>
          <w:szCs w:val="24"/>
        </w:rPr>
      </w:pPr>
      <w:r w:rsidRPr="00F25F74">
        <w:rPr>
          <w:sz w:val="24"/>
          <w:szCs w:val="24"/>
        </w:rPr>
        <w:t>A distribuição das cores em um quadrado, comum em seletores digitais (como no Photoshop), organiza-se geralmente através do modelo HSB/HSV, onde o eixo horizontal representa a saturação e o eixo vertical representa o brilho (ou valor).</w:t>
      </w:r>
    </w:p>
    <w:p w14:paraId="20CB6A60" w14:textId="170121B6" w:rsidR="006E446C" w:rsidRDefault="006E446C" w:rsidP="004C39C7">
      <w:pPr>
        <w:numPr>
          <w:ilvl w:val="1"/>
          <w:numId w:val="1"/>
        </w:numPr>
        <w:spacing w:line="360" w:lineRule="auto"/>
        <w:rPr>
          <w:sz w:val="24"/>
          <w:szCs w:val="24"/>
        </w:rPr>
      </w:pPr>
      <w:r w:rsidRPr="006E446C">
        <w:rPr>
          <w:sz w:val="24"/>
          <w:szCs w:val="24"/>
        </w:rPr>
        <w:t>Resultado visual (0,2)</w:t>
      </w:r>
    </w:p>
    <w:p w14:paraId="21770AD3" w14:textId="5604F5B4" w:rsidR="00F25F74" w:rsidRPr="006E446C" w:rsidRDefault="00F25F74" w:rsidP="00F25F74">
      <w:pPr>
        <w:numPr>
          <w:ilvl w:val="1"/>
          <w:numId w:val="1"/>
        </w:numPr>
        <w:spacing w:line="360" w:lineRule="auto"/>
        <w:rPr>
          <w:sz w:val="24"/>
          <w:szCs w:val="24"/>
        </w:rPr>
      </w:pPr>
      <w:r w:rsidRPr="00F25F74">
        <w:rPr>
          <w:sz w:val="24"/>
          <w:szCs w:val="24"/>
        </w:rPr>
        <w:t>O resultado visual de cores em quadrado pode se referir à harmonia de cores tetrádica (quatro cores equidistantes no círculo cromático, como laranja, verde-amarelado, azul e violeta) ou aos quadrados coloridos de controle de impressão em embalagens (como Tetra Pak), que validam a calibração de tintas ciano, magenta, amarelo e preto</w:t>
      </w:r>
    </w:p>
    <w:p w14:paraId="36BCB679" w14:textId="77777777" w:rsidR="006E446C" w:rsidRPr="006E446C" w:rsidRDefault="006E446C" w:rsidP="004C39C7">
      <w:pPr>
        <w:numPr>
          <w:ilvl w:val="0"/>
          <w:numId w:val="1"/>
        </w:numPr>
        <w:spacing w:line="360" w:lineRule="auto"/>
        <w:rPr>
          <w:sz w:val="24"/>
          <w:szCs w:val="24"/>
        </w:rPr>
      </w:pPr>
      <w:r w:rsidRPr="006E446C">
        <w:rPr>
          <w:b/>
          <w:bCs/>
          <w:sz w:val="24"/>
          <w:szCs w:val="24"/>
        </w:rPr>
        <w:lastRenderedPageBreak/>
        <w:t>Cores Tetraédricas</w:t>
      </w:r>
      <w:r w:rsidRPr="006E446C">
        <w:rPr>
          <w:sz w:val="24"/>
          <w:szCs w:val="24"/>
        </w:rPr>
        <w:t xml:space="preserve"> (0,5)</w:t>
      </w:r>
    </w:p>
    <w:p w14:paraId="00B11262" w14:textId="1752D655" w:rsidR="006E446C" w:rsidRDefault="006E446C" w:rsidP="004C39C7">
      <w:pPr>
        <w:numPr>
          <w:ilvl w:val="1"/>
          <w:numId w:val="1"/>
        </w:numPr>
        <w:spacing w:line="360" w:lineRule="auto"/>
        <w:rPr>
          <w:sz w:val="24"/>
          <w:szCs w:val="24"/>
        </w:rPr>
      </w:pPr>
      <w:r w:rsidRPr="006E446C">
        <w:rPr>
          <w:sz w:val="24"/>
          <w:szCs w:val="24"/>
        </w:rPr>
        <w:t>Conceito correto (0,3)</w:t>
      </w:r>
    </w:p>
    <w:p w14:paraId="5FF5297C" w14:textId="57DEE57C" w:rsidR="00F25F74" w:rsidRPr="00F25F74" w:rsidRDefault="00F25F74" w:rsidP="00F25F74">
      <w:pPr>
        <w:numPr>
          <w:ilvl w:val="1"/>
          <w:numId w:val="1"/>
        </w:numPr>
        <w:spacing w:line="360" w:lineRule="auto"/>
        <w:rPr>
          <w:sz w:val="24"/>
          <w:szCs w:val="24"/>
        </w:rPr>
      </w:pPr>
      <w:r w:rsidRPr="00F25F74">
        <w:rPr>
          <w:sz w:val="24"/>
          <w:szCs w:val="24"/>
        </w:rPr>
        <w:t>conceito de cores tetraédricas (ou tétrade) refere-se a um esquema de harmonia que utiliza quatro cores equidistantes no círculo cromático, formando um quadrado ou retângulo</w:t>
      </w:r>
    </w:p>
    <w:p w14:paraId="241AE596" w14:textId="1D16BB3D" w:rsidR="006E446C" w:rsidRDefault="006E446C" w:rsidP="004C39C7">
      <w:pPr>
        <w:numPr>
          <w:ilvl w:val="1"/>
          <w:numId w:val="1"/>
        </w:numPr>
        <w:spacing w:line="360" w:lineRule="auto"/>
        <w:rPr>
          <w:sz w:val="24"/>
          <w:szCs w:val="24"/>
        </w:rPr>
      </w:pPr>
      <w:r w:rsidRPr="006E446C">
        <w:rPr>
          <w:sz w:val="24"/>
          <w:szCs w:val="24"/>
        </w:rPr>
        <w:t>Diferença para quadrado (0,2)</w:t>
      </w:r>
    </w:p>
    <w:p w14:paraId="0C19C9F0" w14:textId="4B12C6C6" w:rsidR="00F25F74" w:rsidRPr="006E446C" w:rsidRDefault="00F25F74" w:rsidP="00F25F74">
      <w:pPr>
        <w:numPr>
          <w:ilvl w:val="1"/>
          <w:numId w:val="1"/>
        </w:numPr>
        <w:spacing w:line="360" w:lineRule="auto"/>
        <w:rPr>
          <w:sz w:val="24"/>
          <w:szCs w:val="24"/>
        </w:rPr>
      </w:pPr>
      <w:r w:rsidRPr="00F25F74">
        <w:rPr>
          <w:sz w:val="24"/>
          <w:szCs w:val="24"/>
        </w:rPr>
        <w:t>As cores tetrádicas (ou tetraédricas) utilizam quatro cores espaçadas uniformemente no círculo cromático, formando um retângulo (duas duplas complementares), enquanto o esquema em quadrado</w:t>
      </w:r>
    </w:p>
    <w:p w14:paraId="36E676DF" w14:textId="77777777" w:rsidR="006E446C" w:rsidRPr="006E446C" w:rsidRDefault="006E446C" w:rsidP="004C39C7">
      <w:pPr>
        <w:numPr>
          <w:ilvl w:val="0"/>
          <w:numId w:val="1"/>
        </w:numPr>
        <w:spacing w:line="360" w:lineRule="auto"/>
        <w:rPr>
          <w:sz w:val="24"/>
          <w:szCs w:val="24"/>
        </w:rPr>
      </w:pPr>
      <w:r w:rsidRPr="006E446C">
        <w:rPr>
          <w:b/>
          <w:bCs/>
          <w:sz w:val="24"/>
          <w:szCs w:val="24"/>
        </w:rPr>
        <w:t>Monocromia</w:t>
      </w:r>
      <w:r w:rsidRPr="006E446C">
        <w:rPr>
          <w:sz w:val="24"/>
          <w:szCs w:val="24"/>
        </w:rPr>
        <w:t xml:space="preserve"> (0,5)</w:t>
      </w:r>
    </w:p>
    <w:p w14:paraId="426B2403" w14:textId="2A6088C0" w:rsidR="006E446C" w:rsidRDefault="006E446C" w:rsidP="004C39C7">
      <w:pPr>
        <w:numPr>
          <w:ilvl w:val="1"/>
          <w:numId w:val="1"/>
        </w:numPr>
        <w:spacing w:line="360" w:lineRule="auto"/>
        <w:rPr>
          <w:sz w:val="24"/>
          <w:szCs w:val="24"/>
        </w:rPr>
      </w:pPr>
      <w:r w:rsidRPr="006E446C">
        <w:rPr>
          <w:sz w:val="24"/>
          <w:szCs w:val="24"/>
        </w:rPr>
        <w:t>Definição correta (0,3)</w:t>
      </w:r>
    </w:p>
    <w:p w14:paraId="546AFA07" w14:textId="5A7A5164" w:rsidR="00F25F74" w:rsidRPr="00B2526A" w:rsidRDefault="00B2526A" w:rsidP="00B2526A">
      <w:pPr>
        <w:numPr>
          <w:ilvl w:val="1"/>
          <w:numId w:val="1"/>
        </w:numPr>
        <w:spacing w:line="360" w:lineRule="auto"/>
        <w:rPr>
          <w:sz w:val="24"/>
          <w:szCs w:val="24"/>
        </w:rPr>
      </w:pPr>
      <w:r w:rsidRPr="00B2526A">
        <w:rPr>
          <w:sz w:val="24"/>
          <w:szCs w:val="24"/>
        </w:rPr>
        <w:t>monocromia é um conceito de design e arte que se refere ao uso de uma única cor ou variações de uma única cor em um espaço ou obra</w:t>
      </w:r>
    </w:p>
    <w:p w14:paraId="235164E7" w14:textId="21914711" w:rsidR="006E446C" w:rsidRDefault="006E446C" w:rsidP="004C39C7">
      <w:pPr>
        <w:numPr>
          <w:ilvl w:val="1"/>
          <w:numId w:val="1"/>
        </w:numPr>
        <w:spacing w:line="360" w:lineRule="auto"/>
        <w:rPr>
          <w:sz w:val="24"/>
          <w:szCs w:val="24"/>
        </w:rPr>
      </w:pPr>
      <w:r w:rsidRPr="006E446C">
        <w:rPr>
          <w:sz w:val="24"/>
          <w:szCs w:val="24"/>
        </w:rPr>
        <w:t>Explicação de como criar variações (0,2)</w:t>
      </w:r>
    </w:p>
    <w:p w14:paraId="5D601391" w14:textId="53252B0B" w:rsidR="00B2526A" w:rsidRPr="006E446C" w:rsidRDefault="00B2526A" w:rsidP="00B2526A">
      <w:pPr>
        <w:numPr>
          <w:ilvl w:val="1"/>
          <w:numId w:val="1"/>
        </w:numPr>
        <w:spacing w:line="360" w:lineRule="auto"/>
        <w:rPr>
          <w:sz w:val="24"/>
          <w:szCs w:val="24"/>
        </w:rPr>
      </w:pPr>
      <w:r w:rsidRPr="00B2526A">
        <w:rPr>
          <w:sz w:val="24"/>
          <w:szCs w:val="24"/>
        </w:rPr>
        <w:t>A monocromia utiliza uma única cor base, criando variações de tonalidade através da adição de branco (tons mais claros), preto (tons mais escuros) ou cinza (tons saturados/cinzentos) a essa cor</w:t>
      </w:r>
    </w:p>
    <w:p w14:paraId="0498B548" w14:textId="77777777" w:rsidR="006E446C" w:rsidRPr="006E446C" w:rsidRDefault="00B1697E" w:rsidP="004C39C7">
      <w:pPr>
        <w:spacing w:line="360" w:lineRule="auto"/>
        <w:rPr>
          <w:sz w:val="24"/>
          <w:szCs w:val="24"/>
        </w:rPr>
      </w:pPr>
      <w:r>
        <w:rPr>
          <w:sz w:val="24"/>
          <w:szCs w:val="24"/>
        </w:rPr>
        <w:pict w14:anchorId="24696BF9">
          <v:rect id="_x0000_i1026" style="width:0;height:1.5pt" o:hralign="center" o:hrstd="t" o:hr="t" fillcolor="#a0a0a0" stroked="f"/>
        </w:pict>
      </w:r>
    </w:p>
    <w:p w14:paraId="716F49F2"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Parte 2 – Aplicação Prática (4,0 pontos)</w:t>
      </w:r>
    </w:p>
    <w:p w14:paraId="5574AAFF" w14:textId="77777777" w:rsidR="006E446C" w:rsidRPr="006E446C" w:rsidRDefault="006E446C" w:rsidP="004C39C7">
      <w:pPr>
        <w:numPr>
          <w:ilvl w:val="0"/>
          <w:numId w:val="2"/>
        </w:numPr>
        <w:spacing w:line="360" w:lineRule="auto"/>
        <w:rPr>
          <w:sz w:val="24"/>
          <w:szCs w:val="24"/>
        </w:rPr>
      </w:pPr>
      <w:r w:rsidRPr="006E446C">
        <w:rPr>
          <w:sz w:val="24"/>
          <w:szCs w:val="24"/>
        </w:rPr>
        <w:t>Desenho correto do círculo cromático (1,0)</w:t>
      </w:r>
    </w:p>
    <w:p w14:paraId="77D0C9A2" w14:textId="53F123B4" w:rsidR="006E446C" w:rsidRDefault="006E446C" w:rsidP="004C39C7">
      <w:pPr>
        <w:numPr>
          <w:ilvl w:val="1"/>
          <w:numId w:val="2"/>
        </w:numPr>
        <w:spacing w:line="360" w:lineRule="auto"/>
        <w:rPr>
          <w:sz w:val="24"/>
          <w:szCs w:val="24"/>
        </w:rPr>
      </w:pPr>
      <w:r w:rsidRPr="006E446C">
        <w:rPr>
          <w:sz w:val="24"/>
          <w:szCs w:val="24"/>
        </w:rPr>
        <w:t>Organização e disposição correta das cores (0,5)</w:t>
      </w:r>
    </w:p>
    <w:p w14:paraId="64F3A102" w14:textId="22BC62F6" w:rsidR="00B2526A" w:rsidRPr="006E446C" w:rsidRDefault="00B2526A" w:rsidP="00C6512E">
      <w:pPr>
        <w:spacing w:line="360" w:lineRule="auto"/>
        <w:ind w:left="1440"/>
        <w:rPr>
          <w:sz w:val="24"/>
          <w:szCs w:val="24"/>
        </w:rPr>
      </w:pPr>
      <w:r>
        <w:rPr>
          <w:noProof/>
          <w:sz w:val="24"/>
          <w:szCs w:val="24"/>
          <w:lang w:eastAsia="pt-BR"/>
        </w:rPr>
        <w:lastRenderedPageBreak/>
        <w:drawing>
          <wp:inline distT="0" distB="0" distL="0" distR="0" wp14:anchorId="302D4478" wp14:editId="2A707FD6">
            <wp:extent cx="2320079" cy="2295525"/>
            <wp:effectExtent l="0" t="0" r="444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rculo-de-newton (1).webp"/>
                    <pic:cNvPicPr/>
                  </pic:nvPicPr>
                  <pic:blipFill>
                    <a:blip r:embed="rId5">
                      <a:extLst>
                        <a:ext uri="{28A0092B-C50C-407E-A947-70E740481C1C}">
                          <a14:useLocalDpi xmlns:a14="http://schemas.microsoft.com/office/drawing/2010/main" val="0"/>
                        </a:ext>
                      </a:extLst>
                    </a:blip>
                    <a:stretch>
                      <a:fillRect/>
                    </a:stretch>
                  </pic:blipFill>
                  <pic:spPr>
                    <a:xfrm flipH="1">
                      <a:off x="0" y="0"/>
                      <a:ext cx="2379172" cy="2353992"/>
                    </a:xfrm>
                    <a:prstGeom prst="rect">
                      <a:avLst/>
                    </a:prstGeom>
                  </pic:spPr>
                </pic:pic>
              </a:graphicData>
            </a:graphic>
          </wp:inline>
        </w:drawing>
      </w:r>
    </w:p>
    <w:p w14:paraId="35469B53" w14:textId="2408F34A" w:rsidR="00C6512E" w:rsidRDefault="006E446C" w:rsidP="00C6512E">
      <w:pPr>
        <w:numPr>
          <w:ilvl w:val="1"/>
          <w:numId w:val="2"/>
        </w:numPr>
        <w:spacing w:line="360" w:lineRule="auto"/>
        <w:rPr>
          <w:sz w:val="24"/>
          <w:szCs w:val="24"/>
        </w:rPr>
      </w:pPr>
      <w:r w:rsidRPr="006E446C">
        <w:rPr>
          <w:sz w:val="24"/>
          <w:szCs w:val="24"/>
        </w:rPr>
        <w:t>Identificação das cores primárias, secundárias e terciárias (0,5)</w:t>
      </w:r>
    </w:p>
    <w:p w14:paraId="066A1D33" w14:textId="587CD704" w:rsidR="00C6512E" w:rsidRPr="00C6512E" w:rsidRDefault="00C6512E" w:rsidP="00C6512E">
      <w:pPr>
        <w:numPr>
          <w:ilvl w:val="1"/>
          <w:numId w:val="2"/>
        </w:numPr>
        <w:spacing w:line="360" w:lineRule="auto"/>
        <w:rPr>
          <w:sz w:val="24"/>
          <w:szCs w:val="24"/>
        </w:rPr>
      </w:pPr>
      <w:r w:rsidRPr="00C6512E">
        <w:rPr>
          <w:sz w:val="24"/>
          <w:szCs w:val="24"/>
        </w:rPr>
        <w:t>As cores são classificadas em primárias, secundárias e terciárias com base na sua pureza e na mistura de pigmentos (modelo RYB). Primárias (azul, amarelo, vermelho) não podem ser criadas por mistura. Secundárias (verde, laranja, roxo) nascem da mistura de duas primárias. Terciárias resultam da mistura de uma primária com uma secundária.</w:t>
      </w:r>
    </w:p>
    <w:p w14:paraId="2ABF1191" w14:textId="77777777" w:rsidR="006E446C" w:rsidRPr="006E446C" w:rsidRDefault="006E446C" w:rsidP="004C39C7">
      <w:pPr>
        <w:numPr>
          <w:ilvl w:val="0"/>
          <w:numId w:val="2"/>
        </w:numPr>
        <w:spacing w:line="360" w:lineRule="auto"/>
        <w:rPr>
          <w:sz w:val="24"/>
          <w:szCs w:val="24"/>
        </w:rPr>
      </w:pPr>
      <w:r w:rsidRPr="006E446C">
        <w:rPr>
          <w:sz w:val="24"/>
          <w:szCs w:val="24"/>
        </w:rPr>
        <w:t>Aplicação das Harmonias (3,0)</w:t>
      </w:r>
    </w:p>
    <w:p w14:paraId="7F11B00E" w14:textId="4851872D" w:rsidR="006E446C" w:rsidRDefault="006E446C" w:rsidP="004C39C7">
      <w:pPr>
        <w:numPr>
          <w:ilvl w:val="1"/>
          <w:numId w:val="2"/>
        </w:numPr>
        <w:spacing w:line="360" w:lineRule="auto"/>
        <w:rPr>
          <w:sz w:val="24"/>
          <w:szCs w:val="24"/>
        </w:rPr>
      </w:pPr>
      <w:r w:rsidRPr="006E446C">
        <w:rPr>
          <w:sz w:val="24"/>
          <w:szCs w:val="24"/>
        </w:rPr>
        <w:t>Uma combinação complementar corretamente representada (1,0)</w:t>
      </w:r>
    </w:p>
    <w:p w14:paraId="7ABB9CAA" w14:textId="08C18D58" w:rsidR="00C6512E" w:rsidRPr="006E446C" w:rsidRDefault="00C6512E" w:rsidP="00C6512E">
      <w:pPr>
        <w:numPr>
          <w:ilvl w:val="1"/>
          <w:numId w:val="2"/>
        </w:numPr>
        <w:spacing w:line="360" w:lineRule="auto"/>
        <w:rPr>
          <w:sz w:val="24"/>
          <w:szCs w:val="24"/>
        </w:rPr>
      </w:pPr>
      <w:r w:rsidRPr="00C6512E">
        <w:rPr>
          <w:sz w:val="24"/>
          <w:szCs w:val="24"/>
        </w:rPr>
        <w:t>Uma combinação complementar clássica e harmônica é o uso de azul e laranja. Essa combinação une uma cor fria e uma quente, posicionadas em lados opostos do círculo cromático, gerando alto contraste e impacto visual. Aplica-se a harmonia usando uma cor como dominante (ex: vestido azul) e a outra como sotaque (ex: bolsa laranja).</w:t>
      </w:r>
    </w:p>
    <w:p w14:paraId="649BF4C2" w14:textId="3BACE525" w:rsidR="006E446C" w:rsidRDefault="006E446C" w:rsidP="004C39C7">
      <w:pPr>
        <w:numPr>
          <w:ilvl w:val="1"/>
          <w:numId w:val="2"/>
        </w:numPr>
        <w:spacing w:line="360" w:lineRule="auto"/>
        <w:rPr>
          <w:sz w:val="24"/>
          <w:szCs w:val="24"/>
        </w:rPr>
      </w:pPr>
      <w:r w:rsidRPr="006E446C">
        <w:rPr>
          <w:sz w:val="24"/>
          <w:szCs w:val="24"/>
        </w:rPr>
        <w:t>Uma combinação triádica corretamente representada (1,0)</w:t>
      </w:r>
    </w:p>
    <w:p w14:paraId="72DF9621" w14:textId="0B0494EB" w:rsidR="00C6512E" w:rsidRPr="006E446C" w:rsidRDefault="00C6512E" w:rsidP="004C39C7">
      <w:pPr>
        <w:numPr>
          <w:ilvl w:val="1"/>
          <w:numId w:val="2"/>
        </w:numPr>
        <w:spacing w:line="360" w:lineRule="auto"/>
        <w:rPr>
          <w:sz w:val="24"/>
          <w:szCs w:val="24"/>
        </w:rPr>
      </w:pPr>
      <w:r>
        <w:t>A harmonia triádica combina três cores equidistantes no círculo cromático, formando um triângulo, o que resulta em um visual vibrante, dinâmico e equilibrado</w:t>
      </w:r>
    </w:p>
    <w:p w14:paraId="4E099110" w14:textId="49D1A93A" w:rsidR="006E446C" w:rsidRDefault="006E446C" w:rsidP="004C39C7">
      <w:pPr>
        <w:numPr>
          <w:ilvl w:val="1"/>
          <w:numId w:val="2"/>
        </w:numPr>
        <w:spacing w:line="360" w:lineRule="auto"/>
        <w:rPr>
          <w:sz w:val="24"/>
          <w:szCs w:val="24"/>
        </w:rPr>
      </w:pPr>
      <w:r w:rsidRPr="006E446C">
        <w:rPr>
          <w:sz w:val="24"/>
          <w:szCs w:val="24"/>
        </w:rPr>
        <w:t>Uma combinação monocromática corretamente representada (1,0)</w:t>
      </w:r>
    </w:p>
    <w:p w14:paraId="0B55F635" w14:textId="1EC9F9BD" w:rsidR="00C6512E" w:rsidRPr="006E446C" w:rsidRDefault="00C6512E" w:rsidP="004C39C7">
      <w:pPr>
        <w:numPr>
          <w:ilvl w:val="1"/>
          <w:numId w:val="2"/>
        </w:numPr>
        <w:spacing w:line="360" w:lineRule="auto"/>
        <w:rPr>
          <w:sz w:val="24"/>
          <w:szCs w:val="24"/>
        </w:rPr>
      </w:pPr>
      <w:r>
        <w:t>Uma combinação monocromática utiliza variações de intensidade, saturação e brilho de uma única cor (ou matiz) do círculo cromático</w:t>
      </w:r>
      <w:r>
        <w:rPr>
          <w:rFonts w:ascii="Arial" w:hAnsi="Arial" w:cs="Arial"/>
          <w:color w:val="0A0A0A"/>
          <w:shd w:val="clear" w:color="auto" w:fill="FFFFFF"/>
        </w:rPr>
        <w:t>.</w:t>
      </w:r>
    </w:p>
    <w:p w14:paraId="600F03CD" w14:textId="77777777" w:rsidR="006E446C" w:rsidRPr="006E446C" w:rsidRDefault="00B1697E" w:rsidP="004C39C7">
      <w:pPr>
        <w:spacing w:line="360" w:lineRule="auto"/>
        <w:rPr>
          <w:sz w:val="24"/>
          <w:szCs w:val="24"/>
        </w:rPr>
      </w:pPr>
      <w:r>
        <w:rPr>
          <w:sz w:val="24"/>
          <w:szCs w:val="24"/>
        </w:rPr>
        <w:lastRenderedPageBreak/>
        <w:pict w14:anchorId="7B6004A6">
          <v:rect id="_x0000_i1027" style="width:0;height:1.5pt" o:hralign="center" o:hrstd="t" o:hr="t" fillcolor="#a0a0a0" stroked="f"/>
        </w:pict>
      </w:r>
    </w:p>
    <w:p w14:paraId="3B11CC61"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Parte 3 – Análise Visual (2,0 pontos)</w:t>
      </w:r>
    </w:p>
    <w:p w14:paraId="34DA7736" w14:textId="295715B2" w:rsidR="006E446C" w:rsidRDefault="006E446C" w:rsidP="004C39C7">
      <w:pPr>
        <w:spacing w:line="360" w:lineRule="auto"/>
        <w:rPr>
          <w:sz w:val="24"/>
          <w:szCs w:val="24"/>
        </w:rPr>
      </w:pPr>
      <w:r w:rsidRPr="006E446C">
        <w:rPr>
          <w:sz w:val="24"/>
          <w:szCs w:val="24"/>
        </w:rPr>
        <w:t>Escolha uma peça visual (logotipo, embalagem, cartaz ou site) e responda:</w:t>
      </w:r>
      <w:r w:rsidR="00B1697E">
        <w:rPr>
          <w:noProof/>
          <w:sz w:val="24"/>
          <w:szCs w:val="24"/>
          <w:lang w:eastAsia="pt-BR"/>
        </w:rPr>
        <w:drawing>
          <wp:inline distT="0" distB="0" distL="0" distR="0" wp14:anchorId="0CE820D7" wp14:editId="3BC8213E">
            <wp:extent cx="1907495" cy="185737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epsi_2023.sv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20544" cy="1870081"/>
                    </a:xfrm>
                    <a:prstGeom prst="rect">
                      <a:avLst/>
                    </a:prstGeom>
                  </pic:spPr>
                </pic:pic>
              </a:graphicData>
            </a:graphic>
          </wp:inline>
        </w:drawing>
      </w:r>
    </w:p>
    <w:p w14:paraId="3C1C2184" w14:textId="22A2BF53" w:rsidR="006E446C" w:rsidRDefault="006E446C" w:rsidP="004C39C7">
      <w:pPr>
        <w:numPr>
          <w:ilvl w:val="0"/>
          <w:numId w:val="3"/>
        </w:numPr>
        <w:spacing w:line="360" w:lineRule="auto"/>
        <w:rPr>
          <w:sz w:val="24"/>
          <w:szCs w:val="24"/>
        </w:rPr>
      </w:pPr>
      <w:r w:rsidRPr="006E446C">
        <w:rPr>
          <w:sz w:val="24"/>
          <w:szCs w:val="24"/>
        </w:rPr>
        <w:t>Identificação correta da harmonia utilizada (1,0)</w:t>
      </w:r>
    </w:p>
    <w:p w14:paraId="5892A5A6" w14:textId="1E12FF2D" w:rsidR="00D64CA5" w:rsidRPr="006E446C" w:rsidRDefault="00B1697E" w:rsidP="00B1697E">
      <w:pPr>
        <w:numPr>
          <w:ilvl w:val="0"/>
          <w:numId w:val="3"/>
        </w:numPr>
        <w:spacing w:line="360" w:lineRule="auto"/>
        <w:rPr>
          <w:sz w:val="24"/>
          <w:szCs w:val="24"/>
        </w:rPr>
      </w:pPr>
      <w:r w:rsidRPr="00B1697E">
        <w:rPr>
          <w:sz w:val="24"/>
          <w:szCs w:val="24"/>
        </w:rPr>
        <w:t>A harmonia utilizada no logotipo da Pepsi é fundamentada em uma harmonia triádica, composta pelas cores azul, vermelho e branco. Esta combinação é estratégica e possui múltiplos níveis de significado</w:t>
      </w:r>
    </w:p>
    <w:p w14:paraId="1E3EA90F" w14:textId="2B9F16ED" w:rsidR="006E446C" w:rsidRDefault="006E446C" w:rsidP="004C39C7">
      <w:pPr>
        <w:numPr>
          <w:ilvl w:val="0"/>
          <w:numId w:val="3"/>
        </w:numPr>
        <w:spacing w:line="360" w:lineRule="auto"/>
        <w:rPr>
          <w:sz w:val="24"/>
          <w:szCs w:val="24"/>
        </w:rPr>
      </w:pPr>
      <w:r w:rsidRPr="006E446C">
        <w:rPr>
          <w:sz w:val="24"/>
          <w:szCs w:val="24"/>
        </w:rPr>
        <w:t>Justificativa coerente com base no círculo cromático (1,0)</w:t>
      </w:r>
    </w:p>
    <w:p w14:paraId="113F5E30" w14:textId="11B80888" w:rsidR="00D64CA5" w:rsidRPr="006E446C" w:rsidRDefault="00B1697E" w:rsidP="00B1697E">
      <w:pPr>
        <w:numPr>
          <w:ilvl w:val="0"/>
          <w:numId w:val="3"/>
        </w:numPr>
        <w:spacing w:line="360" w:lineRule="auto"/>
        <w:rPr>
          <w:sz w:val="24"/>
          <w:szCs w:val="24"/>
        </w:rPr>
      </w:pPr>
      <w:r w:rsidRPr="00B1697E">
        <w:rPr>
          <w:sz w:val="24"/>
          <w:szCs w:val="24"/>
        </w:rPr>
        <w:t>O logotipo da Pepsi utiliza uma tríade de cores (azul, branco, vermelho) baseada no círculo cromático para transmitir energia e equilíbrio. O azul elétrico (frio) representa modernidade e refrescância, contrastando com o vermelho (quente), que evoca paixão e entusiasmo. O branco atua como um neutro equilibrante, unificando a composição</w:t>
      </w:r>
      <w:bookmarkStart w:id="0" w:name="_GoBack"/>
      <w:bookmarkEnd w:id="0"/>
    </w:p>
    <w:p w14:paraId="64E871B3" w14:textId="77777777" w:rsidR="006E446C" w:rsidRPr="006E446C" w:rsidRDefault="00B1697E" w:rsidP="004C39C7">
      <w:pPr>
        <w:spacing w:line="360" w:lineRule="auto"/>
        <w:rPr>
          <w:sz w:val="24"/>
          <w:szCs w:val="24"/>
        </w:rPr>
      </w:pPr>
      <w:r>
        <w:rPr>
          <w:sz w:val="24"/>
          <w:szCs w:val="24"/>
        </w:rPr>
        <w:pict w14:anchorId="2D9F424D">
          <v:rect id="_x0000_i1028" style="width:0;height:1.5pt" o:hralign="center" o:hrstd="t" o:hr="t" fillcolor="#a0a0a0" stroked="f"/>
        </w:pict>
      </w:r>
    </w:p>
    <w:p w14:paraId="445EC448" w14:textId="77777777" w:rsidR="006E446C" w:rsidRPr="006E446C" w:rsidRDefault="006E446C" w:rsidP="004C39C7">
      <w:pPr>
        <w:spacing w:line="360" w:lineRule="auto"/>
        <w:rPr>
          <w:b/>
          <w:bCs/>
          <w:sz w:val="24"/>
          <w:szCs w:val="24"/>
        </w:rPr>
      </w:pPr>
      <w:r w:rsidRPr="006E446C">
        <w:rPr>
          <w:rFonts w:ascii="Segoe UI Emoji" w:hAnsi="Segoe UI Emoji" w:cs="Segoe UI Emoji"/>
          <w:b/>
          <w:bCs/>
          <w:sz w:val="24"/>
          <w:szCs w:val="24"/>
        </w:rPr>
        <w:t>📊</w:t>
      </w:r>
      <w:r w:rsidRPr="006E446C">
        <w:rPr>
          <w:b/>
          <w:bCs/>
          <w:sz w:val="24"/>
          <w:szCs w:val="24"/>
        </w:rPr>
        <w:t xml:space="preserve"> Critérios Gerais de Avaliação</w:t>
      </w:r>
    </w:p>
    <w:p w14:paraId="23D9B57C" w14:textId="1C39CF74" w:rsidR="00D64CA5" w:rsidRPr="00D64CA5" w:rsidRDefault="006E446C" w:rsidP="00D64CA5">
      <w:pPr>
        <w:numPr>
          <w:ilvl w:val="0"/>
          <w:numId w:val="4"/>
        </w:numPr>
        <w:spacing w:line="360" w:lineRule="auto"/>
        <w:rPr>
          <w:sz w:val="24"/>
          <w:szCs w:val="24"/>
        </w:rPr>
      </w:pPr>
      <w:r w:rsidRPr="006E446C">
        <w:rPr>
          <w:sz w:val="24"/>
          <w:szCs w:val="24"/>
        </w:rPr>
        <w:t>Clareza na escrita</w:t>
      </w:r>
    </w:p>
    <w:p w14:paraId="564AE0FB" w14:textId="77777777" w:rsidR="006E446C" w:rsidRPr="006E446C" w:rsidRDefault="006E446C" w:rsidP="004C39C7">
      <w:pPr>
        <w:numPr>
          <w:ilvl w:val="0"/>
          <w:numId w:val="4"/>
        </w:numPr>
        <w:spacing w:line="360" w:lineRule="auto"/>
        <w:rPr>
          <w:sz w:val="24"/>
          <w:szCs w:val="24"/>
        </w:rPr>
      </w:pPr>
      <w:r w:rsidRPr="006E446C">
        <w:rPr>
          <w:sz w:val="24"/>
          <w:szCs w:val="24"/>
        </w:rPr>
        <w:t>Uso correto da terminologia</w:t>
      </w:r>
    </w:p>
    <w:p w14:paraId="11A5D920" w14:textId="77777777" w:rsidR="006E446C" w:rsidRPr="006E446C" w:rsidRDefault="006E446C" w:rsidP="004C39C7">
      <w:pPr>
        <w:numPr>
          <w:ilvl w:val="0"/>
          <w:numId w:val="4"/>
        </w:numPr>
        <w:spacing w:line="360" w:lineRule="auto"/>
        <w:rPr>
          <w:sz w:val="24"/>
          <w:szCs w:val="24"/>
        </w:rPr>
      </w:pPr>
      <w:r w:rsidRPr="006E446C">
        <w:rPr>
          <w:sz w:val="24"/>
          <w:szCs w:val="24"/>
        </w:rPr>
        <w:t>Organização visual</w:t>
      </w:r>
    </w:p>
    <w:p w14:paraId="2287663C" w14:textId="77777777" w:rsidR="006E446C" w:rsidRPr="006E446C" w:rsidRDefault="006E446C" w:rsidP="004C39C7">
      <w:pPr>
        <w:numPr>
          <w:ilvl w:val="0"/>
          <w:numId w:val="4"/>
        </w:numPr>
        <w:spacing w:line="360" w:lineRule="auto"/>
        <w:rPr>
          <w:sz w:val="24"/>
          <w:szCs w:val="24"/>
        </w:rPr>
      </w:pPr>
      <w:r w:rsidRPr="006E446C">
        <w:rPr>
          <w:sz w:val="24"/>
          <w:szCs w:val="24"/>
        </w:rPr>
        <w:t>Capricho e apresentação</w:t>
      </w:r>
    </w:p>
    <w:p w14:paraId="20C983A6" w14:textId="77777777" w:rsidR="000F2C44" w:rsidRDefault="000F2C44" w:rsidP="004C39C7">
      <w:pPr>
        <w:spacing w:line="360" w:lineRule="auto"/>
      </w:pPr>
    </w:p>
    <w:sectPr w:rsidR="000F2C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53394"/>
    <w:multiLevelType w:val="multilevel"/>
    <w:tmpl w:val="09FA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11D39"/>
    <w:multiLevelType w:val="multilevel"/>
    <w:tmpl w:val="A1C0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B321E"/>
    <w:multiLevelType w:val="multilevel"/>
    <w:tmpl w:val="E6DAD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287A4B"/>
    <w:multiLevelType w:val="multilevel"/>
    <w:tmpl w:val="D52C6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46C"/>
    <w:rsid w:val="0008067B"/>
    <w:rsid w:val="000F2C44"/>
    <w:rsid w:val="002B74E0"/>
    <w:rsid w:val="004A742D"/>
    <w:rsid w:val="004C39C7"/>
    <w:rsid w:val="006E446C"/>
    <w:rsid w:val="00723617"/>
    <w:rsid w:val="007F18C6"/>
    <w:rsid w:val="008C4DBF"/>
    <w:rsid w:val="00A20658"/>
    <w:rsid w:val="00A97020"/>
    <w:rsid w:val="00B1697E"/>
    <w:rsid w:val="00B2526A"/>
    <w:rsid w:val="00C001E1"/>
    <w:rsid w:val="00C4683C"/>
    <w:rsid w:val="00C6512E"/>
    <w:rsid w:val="00D64CA5"/>
    <w:rsid w:val="00E323FE"/>
    <w:rsid w:val="00F25F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94756"/>
  <w15:chartTrackingRefBased/>
  <w15:docId w15:val="{CDDF49CA-7AB8-4DE6-8F2D-B416F6C6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6E446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6E446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6E446C"/>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6E446C"/>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6E446C"/>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6E44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E44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E44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E446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446C"/>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6E446C"/>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6E446C"/>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6E446C"/>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6E446C"/>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6E446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E446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E446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E446C"/>
    <w:rPr>
      <w:rFonts w:eastAsiaTheme="majorEastAsia" w:cstheme="majorBidi"/>
      <w:color w:val="272727" w:themeColor="text1" w:themeTint="D8"/>
    </w:rPr>
  </w:style>
  <w:style w:type="paragraph" w:styleId="Ttulo">
    <w:name w:val="Title"/>
    <w:basedOn w:val="Normal"/>
    <w:next w:val="Normal"/>
    <w:link w:val="TtuloChar"/>
    <w:uiPriority w:val="10"/>
    <w:qFormat/>
    <w:rsid w:val="006E4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44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446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446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E446C"/>
    <w:pPr>
      <w:spacing w:before="160"/>
      <w:jc w:val="center"/>
    </w:pPr>
    <w:rPr>
      <w:i/>
      <w:iCs/>
      <w:color w:val="404040" w:themeColor="text1" w:themeTint="BF"/>
    </w:rPr>
  </w:style>
  <w:style w:type="character" w:customStyle="1" w:styleId="CitaoChar">
    <w:name w:val="Citação Char"/>
    <w:basedOn w:val="Fontepargpadro"/>
    <w:link w:val="Citao"/>
    <w:uiPriority w:val="29"/>
    <w:rsid w:val="006E446C"/>
    <w:rPr>
      <w:i/>
      <w:iCs/>
      <w:color w:val="404040" w:themeColor="text1" w:themeTint="BF"/>
    </w:rPr>
  </w:style>
  <w:style w:type="paragraph" w:styleId="PargrafodaLista">
    <w:name w:val="List Paragraph"/>
    <w:basedOn w:val="Normal"/>
    <w:uiPriority w:val="34"/>
    <w:qFormat/>
    <w:rsid w:val="006E446C"/>
    <w:pPr>
      <w:ind w:left="720"/>
      <w:contextualSpacing/>
    </w:pPr>
  </w:style>
  <w:style w:type="character" w:styleId="nfaseIntensa">
    <w:name w:val="Intense Emphasis"/>
    <w:basedOn w:val="Fontepargpadro"/>
    <w:uiPriority w:val="21"/>
    <w:qFormat/>
    <w:rsid w:val="006E446C"/>
    <w:rPr>
      <w:i/>
      <w:iCs/>
      <w:color w:val="2E74B5" w:themeColor="accent1" w:themeShade="BF"/>
    </w:rPr>
  </w:style>
  <w:style w:type="paragraph" w:styleId="CitaoIntensa">
    <w:name w:val="Intense Quote"/>
    <w:basedOn w:val="Normal"/>
    <w:next w:val="Normal"/>
    <w:link w:val="CitaoIntensaChar"/>
    <w:uiPriority w:val="30"/>
    <w:qFormat/>
    <w:rsid w:val="006E44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6E446C"/>
    <w:rPr>
      <w:i/>
      <w:iCs/>
      <w:color w:val="2E74B5" w:themeColor="accent1" w:themeShade="BF"/>
    </w:rPr>
  </w:style>
  <w:style w:type="character" w:styleId="RefernciaIntensa">
    <w:name w:val="Intense Reference"/>
    <w:basedOn w:val="Fontepargpadro"/>
    <w:uiPriority w:val="32"/>
    <w:qFormat/>
    <w:rsid w:val="006E446C"/>
    <w:rPr>
      <w:b/>
      <w:bCs/>
      <w:smallCaps/>
      <w:color w:val="2E74B5" w:themeColor="accent1" w:themeShade="BF"/>
      <w:spacing w:val="5"/>
    </w:rPr>
  </w:style>
  <w:style w:type="character" w:styleId="Forte">
    <w:name w:val="Strong"/>
    <w:basedOn w:val="Fontepargpadro"/>
    <w:uiPriority w:val="22"/>
    <w:qFormat/>
    <w:rsid w:val="007F18C6"/>
    <w:rPr>
      <w:b/>
      <w:bCs/>
    </w:rPr>
  </w:style>
  <w:style w:type="character" w:styleId="Hyperlink">
    <w:name w:val="Hyperlink"/>
    <w:basedOn w:val="Fontepargpadro"/>
    <w:uiPriority w:val="99"/>
    <w:semiHidden/>
    <w:unhideWhenUsed/>
    <w:rsid w:val="002B74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266046">
      <w:bodyDiv w:val="1"/>
      <w:marLeft w:val="0"/>
      <w:marRight w:val="0"/>
      <w:marTop w:val="0"/>
      <w:marBottom w:val="0"/>
      <w:divBdr>
        <w:top w:val="none" w:sz="0" w:space="0" w:color="auto"/>
        <w:left w:val="none" w:sz="0" w:space="0" w:color="auto"/>
        <w:bottom w:val="none" w:sz="0" w:space="0" w:color="auto"/>
        <w:right w:val="none" w:sz="0" w:space="0" w:color="auto"/>
      </w:divBdr>
      <w:divsChild>
        <w:div w:id="2092698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webp"/><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1107</Words>
  <Characters>5984</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Murphydias</dc:creator>
  <cp:keywords/>
  <dc:description/>
  <cp:lastModifiedBy>Fatec</cp:lastModifiedBy>
  <cp:revision>7</cp:revision>
  <dcterms:created xsi:type="dcterms:W3CDTF">2026-03-04T13:33:00Z</dcterms:created>
  <dcterms:modified xsi:type="dcterms:W3CDTF">2026-03-19T16:14:00Z</dcterms:modified>
</cp:coreProperties>
</file>