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808080"/>
          <w:sz w:val="18"/>
          <w:szCs w:val="18"/>
        </w:rPr>
        <w:t xml:space="preserve">DEEP RESEARCH MEMO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AI Roll-Up в бухгалтерских услугах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2E5395"/>
          <w:sz w:val="26"/>
          <w:szCs w:val="26"/>
        </w:rPr>
        <w:t xml:space="preserve">Состояние рынка, ключевые игроки, ниши, стратегии входа для оператора</w:t>
      </w:r>
    </w:p>
    <w:p>
      <w:pPr>
        <w:spacing w:after="1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Фокус: Европа с бенчмарком США  •  Сегменты: ZZP / SMB / Mid-market</w:t>
      </w:r>
    </w:p>
    <w:p>
      <w:pPr>
        <w:spacing w:after="4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Подготовлено: 21 мая 2026  •  Для: Viktar Dzenisevich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TL;DR — главное за 60 секунд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Рынок AI-ролл-апа в бухгалтерских услугах вошёл в фазу зрелого пузыря: в США в 2025 году было ~170 PE-сделок (более чем в 2 раза больше 2024), а в Европе — ~200 транзакций в accountancy за 2024 (в 5 раз больше 2022). Тезис "купить services-фирму на низких мультипликаторах, накатить AI, продать как software-платформу" привлёк &gt;$3 млрд капитала, но столкнулся с первым крупным reality-check: аукцион Xeinadin (UK, Exponent) был отменён в феврале 2026 при оценке £1+ млрд из-за "Frankenstein-эффекта" — невозможности интегрировать 100+ разрозненных кантор.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Окно возможностей для нового оператора в Европе всё ещё открыто, но сдвинулось: США — perekonkurirovan на платформенном уровне (Crete, Ascend, Aprio, Sorren, Ryan, Doeren Mayhew); Бенилюкс — острая фаза (PIA Group, Newtone, Baker Tilly NL, Crowe Foederer уже взяли ~30% AFM-лицензированного рынка по числу фирм); DACH — крупные сделки только начались (KKR/ETL Group, EQT/WTS); Южная Европа (Италия, Испания, Португалия) — early stage. Лучшая позиция для входа сегодня — Иберия, Италия, либо узкая вертикальная ниша (e-com / SaaS / freelance) в Бенилюксе с AI-first стеком.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Мультипликаторы: малые фирмы ($1–10M выручки) в US/UK покупаются за 3–7× EBITDA, платформы 10–15× с тенденцией к сжатию. В NL мультипликаторы для лидеров рынка выросли с 6–7× (2022) до 10–11× (2025). "Второй кусочек" через rollover equity (типично 20–40% сделки) — стандарт для удержания партнёров.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Что меняет твоё решение (6 находок)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Окно в Бенилюксе закрывается. </w:t>
      </w:r>
      <w:r>
        <w:rPr>
          <w:rFonts w:ascii="Calibri" w:cs="Calibri" w:eastAsia="Calibri" w:hAnsi="Calibri"/>
          <w:sz w:val="22"/>
          <w:szCs w:val="22"/>
        </w:rPr>
        <w:t xml:space="preserve">AFM сообщает, что доля PE-backed AFM-лицензированных фирм в NL выросла с 11% (2022) до ~30% (2025); рынок проходит инфлекционную точку — крупные PE уже взяли Baker Tilly NL (Inflexion), Crowe Foederer (Rivean), Moore DRV и de Jong &amp; Laan (Waterland), DK Accountants (AnaCap), Qconcepts (IK Partners). Через 18–24 месяца качественные таргеты будут разобраны.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Южная Европа (Италия / Испания / Португалия) — самая привлекательная white space. </w:t>
      </w:r>
      <w:r>
        <w:rPr>
          <w:rFonts w:ascii="Calibri" w:cs="Calibri" w:eastAsia="Calibri" w:hAnsi="Calibri"/>
          <w:sz w:val="22"/>
          <w:szCs w:val="22"/>
        </w:rPr>
        <w:t xml:space="preserve">Единичные сделки (Auren — Waterland в Испании), низкая концентрация PE, фрагментированный рынок с тысячами малых кантор и наследственной волной. Здесь оператор-новичок с €20–50M equity ticket'ом может стать первой платформой в стране за 18 месяцев.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Регуляторика — ASA-структура — обязательная. </w:t>
      </w:r>
      <w:r>
        <w:rPr>
          <w:rFonts w:ascii="Calibri" w:cs="Calibri" w:eastAsia="Calibri" w:hAnsi="Calibri"/>
          <w:sz w:val="22"/>
          <w:szCs w:val="22"/>
        </w:rPr>
        <w:t xml:space="preserve">EU Statutory Audit Directive требует, чтобы большинство голосующих прав в аудиторских фирмах принадлежало approved statutory auditors. Все европейские PE-сделки делаются через разделение audit / non-audit entity и Administrative Services Agreement (ASA). IESBA в июле 2025 выпустил staff alert, AFM раздумывает над ужесточением.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AI-стек ≠ chatGPT-обёртка. </w:t>
      </w:r>
      <w:r>
        <w:rPr>
          <w:rFonts w:ascii="Calibri" w:cs="Calibri" w:eastAsia="Calibri" w:hAnsi="Calibri"/>
          <w:sz w:val="22"/>
          <w:szCs w:val="22"/>
        </w:rPr>
        <w:t xml:space="preserve">У лидеров (Crete-Thrive с OpenAI custom tools, Pennylane co-pilot, Karbon, Basis $100M Series A) уже есть workflow-уровневые AI-агенты для категоризации (98% автоматизации), сверки, подготовки memos. Время на close сокращается на 32%, экономия на сотрудника — 7 недель в год. Оператор без собственного ИИ-стека (или партнёрства с native AI-vendor) проиграет на unit economics.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ZZP / freelance — отдельная игра, software-driven, не roll-up. </w:t>
      </w:r>
      <w:r>
        <w:rPr>
          <w:rFonts w:ascii="Calibri" w:cs="Calibri" w:eastAsia="Calibri" w:hAnsi="Calibri"/>
          <w:sz w:val="22"/>
          <w:szCs w:val="22"/>
        </w:rPr>
        <w:t xml:space="preserve">Pennylane ($4.25B valuation, Sequoia), Indy (FR, $44M Series C), Pilot ($160M+), Bluebook (Nordics €2.4M seed) обслуживают ZZP/микро через продукт. Это не территория ролл-апа — это территория vertical SaaS. Для оператора-roll-up это white space через AI-first "firm-as-a-product" подход (см. Юнит-стратегию ниже).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Margin-thesis под огнём. </w:t>
      </w:r>
      <w:r>
        <w:rPr>
          <w:rFonts w:ascii="Calibri" w:cs="Calibri" w:eastAsia="Calibri" w:hAnsi="Calibri"/>
          <w:sz w:val="22"/>
          <w:szCs w:val="22"/>
        </w:rPr>
        <w:t xml:space="preserve">Главное публичное противоречие: "AI-transformed BPO" фирмы (Concentrix, Genpact, Infosys) торгуются 5–23× EV/EBITDA, а pure software (Salesforce, ServiceNow) — 22–92×. Идея "купить за 5×, продать за 15×" под угрозой — аукцион Xeinadin это подтвердил. Реальные выходы пока не доказаны: первая известная PE-to-PE accounting сделка — New Mountain → Blackstone на Citrin Cooperman, $2B / 15× EBITDA, ноябрь 2025.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Состояние рынка: где мы сейчас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1.1. Размер и динамика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Европейский рынок accounting &amp; auditing — €235 млрд выручки в 2025 (IBISWorld), CAGR 0.4% за 5 лет. Рост невпечатляющий, но структура крайне фрагментированная: в большинстве стран ЕС 80–90% объёма приходится на тысячи малых и средних кантор. Это и есть основное "топливо" для PE-консолидации.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В США в 2025 году было ~170 PE-транзакций в accounting (Cornerstone PE Deal Tracker, CPA Trendlines) — больше чем удвоение к 2024 (65 сделок). Только за Q1 2026 — 64 сделки. Среди шести доминирующих платформ: Ascend, Ryan, Crete, Aprio, Sorren, Doeren Mayhew.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В Европе картина ещё более резкая: с 22 транзакций в 2023 до 100+ в 2024 и до ~200 в 2024 в accountancy секторе (Accountancy Europe, июнь 2025). 60% сделок — non-audit firms, 40% включают audit услуги. По данным AFM, доля PE-backed AFM-licensed accountancy firms в Нидерландах за 3 года утроилась — с 11% до ~30% и идёт к 50%+.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1.2. Сильнейшие тренды 2025–2026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Капитал "AI-roll-up" определился: </w:t>
      </w:r>
      <w:r>
        <w:rPr>
          <w:rFonts w:ascii="Calibri" w:cs="Calibri" w:eastAsia="Calibri" w:hAnsi="Calibri"/>
          <w:sz w:val="22"/>
          <w:szCs w:val="22"/>
        </w:rPr>
        <w:t xml:space="preserve">General Catalyst — $1.5 млрд, Thrive Capital (Holdings) — &gt;$1 млрд, Alpine Investors (Ascend), Charlesbank (Aprio), Blackstone (Citrin), New Mountain (Grant Thornton Advisors). Сегмент превратился в полноценный sub-vertical PE.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Появились первые PE-to-PE флипы: </w:t>
      </w:r>
      <w:r>
        <w:rPr>
          <w:rFonts w:ascii="Calibri" w:cs="Calibri" w:eastAsia="Calibri" w:hAnsi="Calibri"/>
          <w:sz w:val="22"/>
          <w:szCs w:val="22"/>
        </w:rPr>
        <w:t xml:space="preserve">Ноябрь 2025 — Citrin Cooperman продан New Mountain → Blackstone за ~$2 млрд (15× EBITDA), первый известный PE-to-PE accounting флип в США (Bloomberg Tax, Accounting Today).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Мультипликаторы сжимаются: </w:t>
      </w:r>
      <w:r>
        <w:rPr>
          <w:rFonts w:ascii="Calibri" w:cs="Calibri" w:eastAsia="Calibri" w:hAnsi="Calibri"/>
          <w:sz w:val="22"/>
          <w:szCs w:val="22"/>
        </w:rPr>
        <w:t xml:space="preserve">Mid-market DACH multiples упали с mean 14.6× (H2 2024) до 8.7× в 2025. Reality-check от Xeinadin (UK): аукцион £1B+ свёрнут в феврале 2026 из-за "Frankenstein-эффекта" (Accountancy Age, Going Concern).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Регуляторный пуш: </w:t>
      </w:r>
      <w:r>
        <w:rPr>
          <w:rFonts w:ascii="Calibri" w:cs="Calibri" w:eastAsia="Calibri" w:hAnsi="Calibri"/>
          <w:sz w:val="22"/>
          <w:szCs w:val="22"/>
        </w:rPr>
        <w:t xml:space="preserve">IESBA выпустил staff alert (июль 2025) по независимости. Accountancy Europe (ноябрь 2025) — отчёт о third-party ownership. AFM публично подняла обеспокоенность.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Software-side тоже консолидируется: </w:t>
      </w:r>
      <w:r>
        <w:rPr>
          <w:rFonts w:ascii="Calibri" w:cs="Calibri" w:eastAsia="Calibri" w:hAnsi="Calibri"/>
          <w:sz w:val="22"/>
          <w:szCs w:val="22"/>
        </w:rPr>
        <w:t xml:space="preserve">Visma — 350+ acquisitions исторически, 11 покупок в Q4 2025, 10 в 2025 в DACH (Finmatics, milia.io, Taxy.io). Pennylane — $204M на $4.25B valuation (январь 2026).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Основные игроки и стратегии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2.1. США — "мать всех" платформ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 / Capital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Выручка / Масштаб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Стратегия &amp; AI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Crete Professionals Alliance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Thrive Capital (Holdings)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$300M+ выручка, 30+ фирм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custom tools (Thrive in-house tech team), $500M на M&amp;A; миноритарный rollover для партнёров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Ascend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Alpine Investors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Крупнейший пул сделок 2025 (Almand &amp; Bangs, Gollob Morgan Peddy, KSDT — 276 prof.)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Регионально-кластерная экспансия, integration-heavy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Charlesbank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Северо-западное расширение через Delap (Jan 2026); приобрёл Prism Financial $1.8B AUM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Wealth + accounting hybrid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Citrin Cooperman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Blackstone (купил у New Mountain)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~$2B EV / 15× EBITDA (Nov 2025)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Первый PE-to-PE флип в industry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Sorren / Ryan / Doeren Mayhew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Mixed 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Активные buy-side игроки Q1 2026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Subcategory: tax-heavy specialists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Grant Thornton Advisors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Mountain led group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12,000 professionals US+IE+CH+LI+JE+UAE+LU+KY+NL (2025)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Multinational платформенная структура через networks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5B9BD5" w:sz="18" w:space="8"/>
        </w:pBdr>
        <w:spacing w:after="200" w:before="100" w:line="300"/>
        <w:ind w:left="3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"Капитал, выделенный на эту стратегию, превышает $3 млрд между основными игроками, и темп ускоряется — только Crete сделал &gt;10 сделок за 2025." — Transacted / Capital Founders OS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2.2. UK + Ireland — самый зрелый европейский рынок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0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Выручка 2024–25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Замечания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Azets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Hg + PAI Partners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£405M (+12% YoY), Top-9 UK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Изначально создан John Connolly (ex-Deloitte). Приобрёл Baker Tilly Ireland 2023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Evelyn Partners (S&amp;W)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Permira + Warburg Pincus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£656.6M, Top-6 UK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Professional services arm продан Apax (~£700M, 2024) — отделён от wealth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Cooper Parry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 (sponsor swap 2024)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£120M (+127% YoY), Top-20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Очень агрессивный buy-and-build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Xeinadin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Exponent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100+ кантор UK+IE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Аукцион £1B+ свёрнут Feb 2026 — "Frankenstein effect"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PE-backed (ex-KPMG COO)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Цель — £1B valuation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Новая платформа 2024–25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Forvis Mazars UK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Partnership-led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Top-tier non-PE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Merger с US Forvis 2024 — глобальная сеть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UK — самый "перенаселённый" PE-рынок accounting в Европе. Цена входа для нового платформы здесь очень высока (1) из-за высоких мультипликаторов на качественные таргеты (8–12× EBITDA для растущих фирм), (2) уже зрелого пула sellers, (3) присутствия 6+ серьёзных PE-консолидаторов. Аукцион Xeinadin показал, что даже выходы здесь становятся сложнее.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2.3. Continental Europe — детальный разбор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DACH (Германия, Австрия, Швейцария)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Главные сделки 2025: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KKR → ETL Group (март 2025): </w:t>
      </w:r>
      <w:r>
        <w:rPr>
          <w:rFonts w:ascii="Calibri" w:cs="Calibri" w:eastAsia="Calibri" w:hAnsi="Calibri"/>
          <w:sz w:val="22"/>
          <w:szCs w:val="22"/>
        </w:rPr>
        <w:t xml:space="preserve">майоритарная доля в крупнейшей tax advisory группе Германии. ETL — €1.4B Europe revenue, 16,500 employees, top-5 professional services Германии. По сути "единственный" реальный национальный консолидатор.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EQT → WTS Group: </w:t>
      </w:r>
      <w:r>
        <w:rPr>
          <w:rFonts w:ascii="Calibri" w:cs="Calibri" w:eastAsia="Calibri" w:hAnsi="Calibri"/>
          <w:sz w:val="22"/>
          <w:szCs w:val="22"/>
        </w:rPr>
        <w:t xml:space="preserve">стратегическое партнёрство, фокус на международной экспансии WTS.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Visma — Finmatics + milia.io + Taxy.io: </w:t>
      </w:r>
      <w:r>
        <w:rPr>
          <w:rFonts w:ascii="Calibri" w:cs="Calibri" w:eastAsia="Calibri" w:hAnsi="Calibri"/>
          <w:sz w:val="22"/>
          <w:szCs w:val="22"/>
        </w:rPr>
        <w:t xml:space="preserve">софт-консолидатор зашёл в DACH через AI-driven приобретения (август 2025, апрель 2025). Finmatics обслуживает 1,200+ accounting offices в Австрии и Германии.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Ниже ETL — крайне фрагментированный рынок Steuerberater (10,000+ практик). Барьер: Berufsrecht — строгие требования к ownership штойербератеров (аналог UK ICAEW restrictions).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Бенилюкс (NL, BE, LU)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Самый "бурлящий" рынок Европы по PE-активности на душу. По AV-Top 50 2025 (Accountancy Vanmorgen), PE-backed платформы — 15.2% выручки топ-50.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Платформа NL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Baker Tilly Netherlands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Inflexion (миноритарный, 2025)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€150M revenue, 1,000 emp; крупнейшая PE-сделка в истории Dutch accountancy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Crowe Foederer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Rivean Capital (Feb 2025)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€90M revenue, 700 emp, 9 offices; цель — удвоение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Moore DRV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Waterland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Top-10 NL accounting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Jong &amp; Laan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Waterland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Top-10 NL accounting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DK Accountants &amp; Adviseurs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AnaCap (Jan 2025) — первый AnaCap deal в NL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acquisitions с 2019, IT-platform-driven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Qconcepts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IK Partners (UK-Swedish)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Аудит-фокус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Newtone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Avedon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Вошёл на бельгийский рынок 2025 (PKF BOFIDI partnership)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 Group (BE/NL)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Baltisse (family office Filip Balcaen)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брендов NL, 1,300 сотрудников NL, активная M&amp;A: Aksos, Hendriksen (150 emp, 7 офисов), Omnyacc (300 emp, 7,000 клиентов) в 2025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Wesselman Accountants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Отказался от PE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Сигнал — не все хотят продавать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В Бельгии: PIA Group (Baltisse) + Moore Belgium (Waterland) — два главных консолидатора. PKF BOFIDI / Newtone (Avedon) — третья сила, особенно через NL-стик.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Франция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COGEP — Waterland (миноритарная, 2023): </w:t>
      </w:r>
      <w:r>
        <w:rPr>
          <w:rFonts w:ascii="Calibri" w:cs="Calibri" w:eastAsia="Calibri" w:hAnsi="Calibri"/>
          <w:sz w:val="22"/>
          <w:szCs w:val="22"/>
        </w:rPr>
        <w:t xml:space="preserve">€280M revenue, 7-й по выручке аудитор Франции, член HLB. €200M сделка с синдикатом BNP Paribas / Crédit Agricole / SocGen.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Pennylane: </w:t>
      </w:r>
      <w:r>
        <w:rPr>
          <w:rFonts w:ascii="Calibri" w:cs="Calibri" w:eastAsia="Calibri" w:hAnsi="Calibri"/>
          <w:sz w:val="22"/>
          <w:szCs w:val="22"/>
        </w:rPr>
        <w:t xml:space="preserve">€175M раунд (Sequoia), затем $204M на $4.25B valuation (январь 2026). Не roll-up, но фактически вычерпывает ZZP/SMB-клиентов через продукт — главный disruptor для traditional кантор во Франции.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Indy: </w:t>
      </w:r>
      <w:r>
        <w:rPr>
          <w:rFonts w:ascii="Calibri" w:cs="Calibri" w:eastAsia="Calibri" w:hAnsi="Calibri"/>
          <w:sz w:val="22"/>
          <w:szCs w:val="22"/>
        </w:rPr>
        <w:t xml:space="preserve">$44M Series C, focus на freelancers. Тот же паттерн.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Французский рынок accounting/audit концентрированнее немецкого, но всё ещё имеет 7 000+ кантор. FAO market растёт CAGR 9.6% (2022–2028). После COGEP — нет крупных PE-платформ. White space.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Nordics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Главный игрок — Visma (норвежский SaaS-гигант), 350+ acquisitions исторически, 11 в Q4 2025. Visma определяет рынок через software, не через services-консолидацию. Sevices-рынок Nordics более концентрирован (BDO, Mazars, Deloitte доминируют) — меньше room для нового ролл-апа. Возможность: AI-native ZZP/SMB-плеер (Bluebook, €2.4M seed, экспансия Nordics 2025) — но это VC-территория, не PE-roll-up.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Южная Европа (IT / ES / PT)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Early stage. Единичные сделки: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Auren (Испания) — Waterland: </w:t>
      </w:r>
      <w:r>
        <w:rPr>
          <w:rFonts w:ascii="Calibri" w:cs="Calibri" w:eastAsia="Calibri" w:hAnsi="Calibri"/>
          <w:sz w:val="22"/>
          <w:szCs w:val="22"/>
        </w:rPr>
        <w:t xml:space="preserve">early consolidator deal.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 fund investing in multidisciplinary professional services firm (Spain) — </w:t>
      </w:r>
      <w:r>
        <w:rPr>
          <w:rFonts w:ascii="Calibri" w:cs="Calibri" w:eastAsia="Calibri" w:hAnsi="Calibri"/>
          <w:sz w:val="22"/>
          <w:szCs w:val="22"/>
        </w:rPr>
        <w:t xml:space="preserve">идентифицирован, не названо.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Италия: фрагментированный рынок commercialisti (&gt;100,000 практик), но регуляторные барьеры ниже немецких. Португалия: маленький рынок, но почти нет PE-конкурентов. ⇒ Это самые недорогие места для входа сегодня. Многократно подчёркнуто в моих находках как стратегическая white space.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Ниши и сегментация: ZZP / SMB / Mid-market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Эта секция критична, потому что страт. позиционирование по client niche определяет всё: от unit economics до того, какой PE захочет тебя финансировать.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3.1. ZZP / freelance / микро (1 человек)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Характеристики: высокий volume (€600M+ в год в одной NL по оценке), низкая средняя стоимость клиента (€50–150/мес в NL по данным Kees de Boekhouder), низкая complexity, высокая текучка.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Поле боя: software-led, не services-led.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Главные игроки: </w:t>
      </w:r>
      <w:r>
        <w:rPr>
          <w:rFonts w:ascii="Calibri" w:cs="Calibri" w:eastAsia="Calibri" w:hAnsi="Calibri"/>
          <w:sz w:val="22"/>
          <w:szCs w:val="22"/>
        </w:rPr>
        <w:t xml:space="preserve">Pennylane (FR, €4.25B val), Indy (FR), Pilot (US), Bluebook (Nordics). Все — VC-funded software, не PE-roll-ups.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Бизнес-модель: </w:t>
      </w:r>
      <w:r>
        <w:rPr>
          <w:rFonts w:ascii="Calibri" w:cs="Calibri" w:eastAsia="Calibri" w:hAnsi="Calibri"/>
          <w:sz w:val="22"/>
          <w:szCs w:val="22"/>
        </w:rPr>
        <w:t xml:space="preserve">SaaS + accounting marketplace, либо AI-native bookkeeping с минимальным touch. Realisation rate возрастает за счёт AI-автоматизации (Puzzle — 98% автоматизированной категоризации).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Вывод для оператора: </w:t>
      </w:r>
      <w:r>
        <w:rPr>
          <w:rFonts w:ascii="Calibri" w:cs="Calibri" w:eastAsia="Calibri" w:hAnsi="Calibri"/>
          <w:sz w:val="22"/>
          <w:szCs w:val="22"/>
        </w:rPr>
        <w:t xml:space="preserve">не рекомендуется как primary playground для traditional roll-up'а. Лучшая стратегия — partnership с native ZZP-software (например, Pennylane или Moneybird в NL) с сегментацией ARPU выше определённого порога.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3.2. SMB (5–50 сотрудников)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Характеристики: средний чек €5–50K/год, recurring 60–80%, possibility cross-sell на advisory/wealth/tax planning. Это "the sweet spot" для PE roll-up: достаточно сложно, чтобы AI не заменил, но достаточно стандартизировано для процесс-консолидации.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Главные игроки здесь — все основные платформы: </w:t>
      </w:r>
      <w:r>
        <w:rPr>
          <w:rFonts w:ascii="Calibri" w:cs="Calibri" w:eastAsia="Calibri" w:hAnsi="Calibri"/>
          <w:sz w:val="22"/>
          <w:szCs w:val="22"/>
        </w:rPr>
        <w:t xml:space="preserve">Crete, Ascend, Aprio (US); Azets, Cooper Parry, Xeinadin (UK); PIA, DK, Newtone (NL); ETL (DE); COGEP (FR).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Логика unit economics: </w:t>
      </w:r>
      <w:r>
        <w:rPr>
          <w:rFonts w:ascii="Calibri" w:cs="Calibri" w:eastAsia="Calibri" w:hAnsi="Calibri"/>
          <w:sz w:val="22"/>
          <w:szCs w:val="22"/>
        </w:rPr>
        <w:t xml:space="preserve">купить кантору на 4–6× EBITDA, накатить AI/процесс/cross-sell, разогнать EBITDA на 25–40%, продать платформу на 10–12×.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Главный риск: </w:t>
      </w:r>
      <w:r>
        <w:rPr>
          <w:rFonts w:ascii="Calibri" w:cs="Calibri" w:eastAsia="Calibri" w:hAnsi="Calibri"/>
          <w:sz w:val="22"/>
          <w:szCs w:val="22"/>
        </w:rPr>
        <w:t xml:space="preserve">partner attrition. Когда уходит партнёр, уходит ~30–50% его книги. ⇒ всегда rollover equity 20–40%, всегда earn-out 18–24 мес, всегда non-compete.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Вывод: </w:t>
      </w:r>
      <w:r>
        <w:rPr>
          <w:rFonts w:ascii="Calibri" w:cs="Calibri" w:eastAsia="Calibri" w:hAnsi="Calibri"/>
          <w:sz w:val="22"/>
          <w:szCs w:val="22"/>
        </w:rPr>
        <w:t xml:space="preserve">это base case для оператора, рекомендуется выбрать одну страну и идти broad-based SMB. Лучше всего работает там, где PE ещё не "запылесосил" таргеты.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3.3. Mid-market (50–500 сотрудников)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Характеристики: сложные клиенты (group audit, transfer pricing, IFRS), advisory-heavy. Размер сделки €5–30M EBITDA. Меньше масштабируется через AI — больше через partnership-структуры.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Главные игроки: </w:t>
      </w:r>
      <w:r>
        <w:rPr>
          <w:rFonts w:ascii="Calibri" w:cs="Calibri" w:eastAsia="Calibri" w:hAnsi="Calibri"/>
          <w:sz w:val="22"/>
          <w:szCs w:val="22"/>
        </w:rPr>
        <w:t xml:space="preserve">Top-tier brands (Forvis Mazars, Grant Thornton, BDO, Baker Tilly), редкие entrepreneurial платформы (Cooper Parry UK).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Структурно: </w:t>
      </w:r>
      <w:r>
        <w:rPr>
          <w:rFonts w:ascii="Calibri" w:cs="Calibri" w:eastAsia="Calibri" w:hAnsi="Calibri"/>
          <w:sz w:val="22"/>
          <w:szCs w:val="22"/>
        </w:rPr>
        <w:t xml:space="preserve">PE заходит через minority stakes, поскольку EU Statutory Audit Directive требует majority audit-partner voting rights. ASA-структура (audit entity vs services entity) — стандарт.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Вывод: </w:t>
      </w:r>
      <w:r>
        <w:rPr>
          <w:rFonts w:ascii="Calibri" w:cs="Calibri" w:eastAsia="Calibri" w:hAnsi="Calibri"/>
          <w:sz w:val="22"/>
          <w:szCs w:val="22"/>
        </w:rPr>
        <w:t xml:space="preserve">не рекомендуется как entry-point для оператора-новичка. Слишком capital-intensive (€100M+ entry ticket), требует deep audit credibility, регуляторные риски.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3.4. Вертикальная ниша: альтернатива размерной сегментации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Растущий тренд: сегментация не по размеру клиента, а по индустрии. Примеры из США: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Kruze Consulting: </w:t>
      </w:r>
      <w:r>
        <w:rPr>
          <w:rFonts w:ascii="Calibri" w:cs="Calibri" w:eastAsia="Calibri" w:hAnsi="Calibri"/>
          <w:sz w:val="22"/>
          <w:szCs w:val="22"/>
        </w:rPr>
        <w:t xml:space="preserve">SaaS / venture-backed startups. Очень defensible.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Bookkeeper360: </w:t>
      </w:r>
      <w:r>
        <w:rPr>
          <w:rFonts w:ascii="Calibri" w:cs="Calibri" w:eastAsia="Calibri" w:hAnsi="Calibri"/>
          <w:sz w:val="22"/>
          <w:szCs w:val="22"/>
        </w:rPr>
        <w:t xml:space="preserve">e-commerce / SaaS / healthcare / real estate / nonprofit / crypto.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InDinero: </w:t>
      </w:r>
      <w:r>
        <w:rPr>
          <w:rFonts w:ascii="Calibri" w:cs="Calibri" w:eastAsia="Calibri" w:hAnsi="Calibri"/>
          <w:sz w:val="22"/>
          <w:szCs w:val="22"/>
        </w:rPr>
        <w:t xml:space="preserve">tech / SaaS startups.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"Niche stacking" (industry + service combo) — наиболее defensible position. В Европе пока почти нет вертикальных roll-ups в accounting — это второй главный white space (после Южной Европы).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Механика сделок: мультипликаторы, структура, регионы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4.1. Мультипликаторы (2025–2026)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Сегмент / география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 / EBITDA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Источник, замечания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Малая фирма US ($1–10M revenue)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3.0–5.5× adj. EBITDA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Auxo Capital Advisors, 2025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Малая фирма US, диверсифицированная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3.0–11.0× EBITDA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 middle market range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Растущая платформа 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7–10× EBITDA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Capstone Partners, Comparables.ai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Крупная US-платформа (Citrin Blackstone deal)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~15× EBITDA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Bloomberg Tax, ноябрь 2025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Желаемый Xeinadin валуэйшн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15–17× EBITDA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Auction collapsed Feb 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DACH средние M&amp;A multiples (general PE)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H2 24: 14.6× mean / 10.9× med; 2025: 8.7× mean / 7.3× med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Dealsuite European Monitor, сжатие на 40%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NL administratiekantoor 2022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6–7× EBITDA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Brookz Acquisition Barometer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NL administratiekantoor 2025 — top targets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10–11× EBITDA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Accountancy Vanmorgen, 2025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NL business services общий 2025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4.6–5.5× EBITDA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Brookz baseline</w:t>
            </w:r>
          </w:p>
        </w:tc>
      </w:tr>
    </w:tbl>
    <w:p>
      <w:pPr>
        <w:pBdr>
          <w:left w:val="single" w:color="5B9BD5" w:sz="18" w:space="8"/>
        </w:pBdr>
        <w:spacing w:after="200" w:before="100" w:line="300"/>
        <w:ind w:left="3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Ключевой вывод: разрыв между "купить малое" (3–6×) и "продать платформу" (10–15×) — это и есть P&amp;L PE-консолидатора. Окно сжимается: сжатие DACH-мультипликаторов на 40% за год показывает, что arbitrage уже подъедают.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4.2. Структура сделки (US/EU стандарт)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 at close: </w:t>
      </w:r>
      <w:r>
        <w:rPr>
          <w:rFonts w:ascii="Calibri" w:cs="Calibri" w:eastAsia="Calibri" w:hAnsi="Calibri"/>
          <w:sz w:val="22"/>
          <w:szCs w:val="22"/>
        </w:rPr>
        <w:t xml:space="preserve">50–70% энтерпрайз велью. Финансируется через PE-equity + bank debt (типично 3–5× EBITDA, для growing platforms — выше).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Rollover equity: </w:t>
      </w:r>
      <w:r>
        <w:rPr>
          <w:rFonts w:ascii="Calibri" w:cs="Calibri" w:eastAsia="Calibri" w:hAnsi="Calibri"/>
          <w:sz w:val="22"/>
          <w:szCs w:val="22"/>
        </w:rPr>
        <w:t xml:space="preserve">20–40% — стандарт для professional services (Linden Law Partners, Auxo, FounderM&amp;A). "Second bite of the apple". Создаёт alignment, retention для key partners.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Earn-out: </w:t>
      </w:r>
      <w:r>
        <w:rPr>
          <w:rFonts w:ascii="Calibri" w:cs="Calibri" w:eastAsia="Calibri" w:hAnsi="Calibri"/>
          <w:sz w:val="22"/>
          <w:szCs w:val="22"/>
        </w:rPr>
        <w:t xml:space="preserve">10–25%, типично 18–24 мес, привязан к EBITDA / retention клиентов. Используется в ~22% всех M&amp;A сделок 2024 (White &amp; Case).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Non-compete: </w:t>
      </w:r>
      <w:r>
        <w:rPr>
          <w:rFonts w:ascii="Calibri" w:cs="Calibri" w:eastAsia="Calibri" w:hAnsi="Calibri"/>
          <w:sz w:val="22"/>
          <w:szCs w:val="22"/>
        </w:rPr>
        <w:t xml:space="preserve">3–5 лет, обычно для всех selling partners.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Reps &amp; warranties insurance: </w:t>
      </w:r>
      <w:r>
        <w:rPr>
          <w:rFonts w:ascii="Calibri" w:cs="Calibri" w:eastAsia="Calibri" w:hAnsi="Calibri"/>
          <w:sz w:val="22"/>
          <w:szCs w:val="22"/>
        </w:rPr>
        <w:t xml:space="preserve">стандарт для сделок &gt;€20M EV.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4.3. Региональные особенности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US: </w:t>
      </w:r>
      <w:r>
        <w:rPr>
          <w:rFonts w:ascii="Calibri" w:cs="Calibri" w:eastAsia="Calibri" w:hAnsi="Calibri"/>
          <w:sz w:val="22"/>
          <w:szCs w:val="22"/>
        </w:rPr>
        <w:t xml:space="preserve">AICPA не запрещает не-CPA ownership, но 49 штатов из 50 требуют CPA majority в firm. ⇒ используется alternative practice structure (APS): attest entity + non-attest entity.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UK: </w:t>
      </w:r>
      <w:r>
        <w:rPr>
          <w:rFonts w:ascii="Calibri" w:cs="Calibri" w:eastAsia="Calibri" w:hAnsi="Calibri"/>
          <w:sz w:val="22"/>
          <w:szCs w:val="22"/>
        </w:rPr>
        <w:t xml:space="preserve">ICAEW допускает PE-ownership с условиями (audit firm independence). Это объясняет почему UK — самый зрелый EU PE-рынок accounting.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EU broader: </w:t>
      </w:r>
      <w:r>
        <w:rPr>
          <w:rFonts w:ascii="Calibri" w:cs="Calibri" w:eastAsia="Calibri" w:hAnsi="Calibri"/>
          <w:sz w:val="22"/>
          <w:szCs w:val="22"/>
        </w:rPr>
        <w:t xml:space="preserve">Statutory Audit Directive 2006/43/EC + 2014 reform requires majority voting in audit firms by approved auditors. ⇒ обязательная split-structure (audit firm + non-audit holding) с ASA.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NL specifically: </w:t>
      </w:r>
      <w:r>
        <w:rPr>
          <w:rFonts w:ascii="Calibri" w:cs="Calibri" w:eastAsia="Calibri" w:hAnsi="Calibri"/>
          <w:sz w:val="22"/>
          <w:szCs w:val="22"/>
        </w:rPr>
        <w:t xml:space="preserve">AFM требует disclosure ownership &gt; 10%. Wta (Wet toezicht accountantsorganisaties) допускает PE минор-овнершип через ASA-структуру. AFM активно мониторит.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DE: </w:t>
      </w:r>
      <w:r>
        <w:rPr>
          <w:rFonts w:ascii="Calibri" w:cs="Calibri" w:eastAsia="Calibri" w:hAnsi="Calibri"/>
          <w:sz w:val="22"/>
          <w:szCs w:val="22"/>
        </w:rPr>
        <w:t xml:space="preserve">Berufsrecht — Steuerberater и Wirtschaftsprüfer должны контролировать большинство. Самый сложный регулятивный режим в EU.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FR: </w:t>
      </w:r>
      <w:r>
        <w:rPr>
          <w:rFonts w:ascii="Calibri" w:cs="Calibri" w:eastAsia="Calibri" w:hAnsi="Calibri"/>
          <w:sz w:val="22"/>
          <w:szCs w:val="22"/>
        </w:rPr>
        <w:t xml:space="preserve">OEC (Ordre des Experts-Comptables) допускает financial investor minority, audit firms — отдельная регуляция через H3C (Haute autorité de l'audit).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AI и тех-стек: что действительно работает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5.1. Что AI автоматизирует сегодня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Категоризация транзакций: </w:t>
      </w:r>
      <w:r>
        <w:rPr>
          <w:rFonts w:ascii="Calibri" w:cs="Calibri" w:eastAsia="Calibri" w:hAnsi="Calibri"/>
          <w:sz w:val="22"/>
          <w:szCs w:val="22"/>
        </w:rPr>
        <w:t xml:space="preserve">Puzzle — 98% автоматизации с self-learning от corrections. Время на bank rec/categorisation сокращается на 70–90%.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extraction / pre-accounting: </w:t>
      </w:r>
      <w:r>
        <w:rPr>
          <w:rFonts w:ascii="Calibri" w:cs="Calibri" w:eastAsia="Calibri" w:hAnsi="Calibri"/>
          <w:sz w:val="22"/>
          <w:szCs w:val="22"/>
        </w:rPr>
        <w:t xml:space="preserve">Finmatics (Visma DACH), DataSnipper, Klarity. Reading invoices, contracts → ledger entries.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Month-end close: </w:t>
      </w:r>
      <w:r>
        <w:rPr>
          <w:rFonts w:ascii="Calibri" w:cs="Calibri" w:eastAsia="Calibri" w:hAnsi="Calibri"/>
          <w:sz w:val="22"/>
          <w:szCs w:val="22"/>
        </w:rPr>
        <w:t xml:space="preserve">FloQast AI Agents — tracking reconciliation status, flagging open items. Closes 32% faster (per Karbon 2026 report).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Memo / report drafting: </w:t>
      </w:r>
      <w:r>
        <w:rPr>
          <w:rFonts w:ascii="Calibri" w:cs="Calibri" w:eastAsia="Calibri" w:hAnsi="Calibri"/>
          <w:sz w:val="22"/>
          <w:szCs w:val="22"/>
        </w:rPr>
        <w:t xml:space="preserve">Thrive's in-house team + OpenAI custom tools (Crete portfolio). "Assurance Dimensions saves hundreds of hours monthly" (Accounting Today).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communication / scheduling: </w:t>
      </w:r>
      <w:r>
        <w:rPr>
          <w:rFonts w:ascii="Calibri" w:cs="Calibri" w:eastAsia="Calibri" w:hAnsi="Calibri"/>
          <w:sz w:val="22"/>
          <w:szCs w:val="22"/>
        </w:rPr>
        <w:t xml:space="preserve">Karbon AI Agents — repetitive client follow-ups, onboarding.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AI ещё НЕ делает надёжно: </w:t>
      </w:r>
      <w:r>
        <w:rPr>
          <w:rFonts w:ascii="Calibri" w:cs="Calibri" w:eastAsia="Calibri" w:hAnsi="Calibri"/>
          <w:sz w:val="22"/>
          <w:szCs w:val="22"/>
        </w:rPr>
        <w:t xml:space="preserve">complex revenue recognition, materiality judgments, audit reserves, regulatory interpretation. CFO.com benchmark (2026): "The best AI model still fails 1 in 5 accounting tasks". Эти зоны остаются для людей.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5.2. Карта AI-вендоров (для оператора)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Лидеры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Замечания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Pre-accounting / OCR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Finmatics (Visma), DataSnipper, Klarity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Visma после поглощения Finmatics — главная угроза независимым OCR-стартапам в DACH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Practice management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Karbon, Canopy, TaxDome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AI-агенты уже встроены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automation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FloQast (now AI-Agent-enabled), Numeric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Mid-market focus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accountant (full-stack)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Pennylane (FR, $4.25B val), Pilot (US), Bench (US, restructured), Basis ($100M, $1.15B val, GV/Accel), Accrual (Feb 2026, $75M GC)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Прямые конкуренты roll-up'ам на SMB-сегменте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bookkeeping (firm-tool)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Botkeeper, Puzzle, Digits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Используются как back-office для traditional firms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platform layer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(Crete-Thrive partnership), Anthropic, custom fine-tunes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Roll-ups строят custom workflows поверх foundation models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5.3. Главное противоречие: software trade vs services trade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AI-roll-up thesis утверждает: купи services-фирму на низких мультипликаторах (5–10× EBITDA), деплой AI, торгуй на software-мультипликаторах (20–40× EBITDA). На практике: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AI-transformed BPO firms </w:t>
      </w:r>
      <w:r>
        <w:rPr>
          <w:rFonts w:ascii="Calibri" w:cs="Calibri" w:eastAsia="Calibri" w:hAnsi="Calibri"/>
          <w:sz w:val="22"/>
          <w:szCs w:val="22"/>
        </w:rPr>
        <w:t xml:space="preserve">(Concentrix, Genpact, Infosys) trade 5–23× EV/EBITDA — ровно services-multiples.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Pure SaaS </w:t>
      </w:r>
      <w:r>
        <w:rPr>
          <w:rFonts w:ascii="Calibri" w:cs="Calibri" w:eastAsia="Calibri" w:hAnsi="Calibri"/>
          <w:sz w:val="22"/>
          <w:szCs w:val="22"/>
        </w:rPr>
        <w:t xml:space="preserve">(Salesforce, ServiceNow, Workday) trade 22–92× EV/EBITDA.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Разрыв НЕ закрылся </w:t>
      </w:r>
      <w:r>
        <w:rPr>
          <w:rFonts w:ascii="Calibri" w:cs="Calibri" w:eastAsia="Calibri" w:hAnsi="Calibri"/>
          <w:sz w:val="22"/>
          <w:szCs w:val="22"/>
        </w:rPr>
        <w:t xml:space="preserve">за 5 лет AI-внедрения BPO.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⇒ "AI-арбитраж" пока теоретический. Реальный value создаётся через operational margin expansion (с 10–15% до 25–35% EBITDA margin), а не через multiple expansion. Это всё ещё привлекательно — рост EBITDA 2× при стабильном мультипликаторе даёт удвоение equity value — но не "unicorn-class" возврат, на который рассчитывают General Catalyst и Thrive.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Стратегия входа для оператора (Европа)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6.1. Три варианта позиционирования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Вариант A — Региональный roll-up в Южной Европе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Где: </w:t>
      </w:r>
      <w:r>
        <w:rPr>
          <w:rFonts w:ascii="Calibri" w:cs="Calibri" w:eastAsia="Calibri" w:hAnsi="Calibri"/>
          <w:sz w:val="22"/>
          <w:szCs w:val="22"/>
        </w:rPr>
        <w:t xml:space="preserve">Италия (Milano + Lombardia + Veneto) или Испания (Madrid + Barcelona + Valencia) или Португалия (Lisboa + Porto).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Тезис: </w:t>
      </w:r>
      <w:r>
        <w:rPr>
          <w:rFonts w:ascii="Calibri" w:cs="Calibri" w:eastAsia="Calibri" w:hAnsi="Calibri"/>
          <w:sz w:val="22"/>
          <w:szCs w:val="22"/>
        </w:rPr>
        <w:t xml:space="preserve">первый mover. ~1 PE-сделка в год за последние 24 мес. Регуляторно проще немецкого. Мультипликаторы на entry 3–5× EBITDA для качественных таргетов.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Капитал: </w:t>
      </w:r>
      <w:r>
        <w:rPr>
          <w:rFonts w:ascii="Calibri" w:cs="Calibri" w:eastAsia="Calibri" w:hAnsi="Calibri"/>
          <w:sz w:val="22"/>
          <w:szCs w:val="22"/>
        </w:rPr>
        <w:t xml:space="preserve">€20–50M equity первый раунд (anchor + 2–3 add-ons за 18 мес), плюс bank debt 3× EBITDA.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Риски: </w:t>
      </w:r>
      <w:r>
        <w:rPr>
          <w:rFonts w:ascii="Calibri" w:cs="Calibri" w:eastAsia="Calibri" w:hAnsi="Calibri"/>
          <w:sz w:val="22"/>
          <w:szCs w:val="22"/>
        </w:rPr>
        <w:t xml:space="preserve">слабая talent pool по сравнению с NL/UK, language barrier, рынок не "проверен" PE — может потребоваться больше времени на убеждение sellers.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Вариант B — Вертикальная niche-платформа в Бенилюксе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Где: </w:t>
      </w:r>
      <w:r>
        <w:rPr>
          <w:rFonts w:ascii="Calibri" w:cs="Calibri" w:eastAsia="Calibri" w:hAnsi="Calibri"/>
          <w:sz w:val="22"/>
          <w:szCs w:val="22"/>
        </w:rPr>
        <w:t xml:space="preserve">NL + BE; ниша — e-commerce / SaaS / scale-ups (типа Kruze для Европы) или freelance / ZZP (как Pennylane services-layer).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Тезис: </w:t>
      </w:r>
      <w:r>
        <w:rPr>
          <w:rFonts w:ascii="Calibri" w:cs="Calibri" w:eastAsia="Calibri" w:hAnsi="Calibri"/>
          <w:sz w:val="22"/>
          <w:szCs w:val="22"/>
        </w:rPr>
        <w:t xml:space="preserve">вертикальная специализация = более высокий ARPU, лучшая retention, defensible против general consolidators. Bekend market'у.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Капитал: </w:t>
      </w:r>
      <w:r>
        <w:rPr>
          <w:rFonts w:ascii="Calibri" w:cs="Calibri" w:eastAsia="Calibri" w:hAnsi="Calibri"/>
          <w:sz w:val="22"/>
          <w:szCs w:val="22"/>
        </w:rPr>
        <w:t xml:space="preserve">€10–30M первый раунд, anchor + 2 add-ons.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Риски: </w:t>
      </w:r>
      <w:r>
        <w:rPr>
          <w:rFonts w:ascii="Calibri" w:cs="Calibri" w:eastAsia="Calibri" w:hAnsi="Calibri"/>
          <w:sz w:val="22"/>
          <w:szCs w:val="22"/>
        </w:rPr>
        <w:t xml:space="preserve">ниша может быть слишком маленькой, нужно быстро строить brand. Конкуренция с native AI-software (Pennylane, Puzzle, Bench).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Вариант C — AI-first "firm-as-a-product" greenfield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Где: </w:t>
      </w:r>
      <w:r>
        <w:rPr>
          <w:rFonts w:ascii="Calibri" w:cs="Calibri" w:eastAsia="Calibri" w:hAnsi="Calibri"/>
          <w:sz w:val="22"/>
          <w:szCs w:val="22"/>
        </w:rPr>
        <w:t xml:space="preserve">Любой европейский рынок, но best fit — NL/BE/DE.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Тезис: </w:t>
      </w:r>
      <w:r>
        <w:rPr>
          <w:rFonts w:ascii="Calibri" w:cs="Calibri" w:eastAsia="Calibri" w:hAnsi="Calibri"/>
          <w:sz w:val="22"/>
          <w:szCs w:val="22"/>
        </w:rPr>
        <w:t xml:space="preserve">не roll-up — а построить AI-native firm с нуля, доказать unit economics (ARR/employee, margin 30%+), затем покупать legacy firms для миграции их книги клиентов на твою платформу. Это hybrid software + services play.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Аналоги: </w:t>
      </w:r>
      <w:r>
        <w:rPr>
          <w:rFonts w:ascii="Calibri" w:cs="Calibri" w:eastAsia="Calibri" w:hAnsi="Calibri"/>
          <w:sz w:val="22"/>
          <w:szCs w:val="22"/>
        </w:rPr>
        <w:t xml:space="preserve">Pilot (US), Pennylane services arm, Bluebook (Nordics).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Капитал: </w:t>
      </w:r>
      <w:r>
        <w:rPr>
          <w:rFonts w:ascii="Calibri" w:cs="Calibri" w:eastAsia="Calibri" w:hAnsi="Calibri"/>
          <w:sz w:val="22"/>
          <w:szCs w:val="22"/>
        </w:rPr>
        <w:t xml:space="preserve">€5–15M seed/Series A — VC-route, не PE-route. Иной риск-профиль.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Риски: </w:t>
      </w:r>
      <w:r>
        <w:rPr>
          <w:rFonts w:ascii="Calibri" w:cs="Calibri" w:eastAsia="Calibri" w:hAnsi="Calibri"/>
          <w:sz w:val="22"/>
          <w:szCs w:val="22"/>
        </w:rPr>
        <w:t xml:space="preserve">длительный путь до scale, гонка с funded инкумбентами Pennylane, Indy. Talent (AI engineers + accountants) expensive.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6.2. Рекомендация и обоснование</w:t>
      </w:r>
    </w:p>
    <w:p>
      <w:pPr>
        <w:pBdr>
          <w:left w:val="single" w:color="5B9BD5" w:sz="18" w:space="8"/>
        </w:pBdr>
        <w:spacing w:after="200" w:before="100" w:line="300"/>
        <w:ind w:left="3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Рекомендация: Вариант A (Южная Европа, скорее всего Италия), с вертикальным под-фокусом на SMB / scale-ups / e-commerce. Капитал: €30–40M первый раунд. Срок до первой сделки: 6 мес. Срок до платформы 5 кантор: 18 мес. Exit horizon: 5–7 лет на 4–5× MOIC.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Почему так: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Италия (или Испания) — единственный крупный EU-рынок accounting, где доминирующего PE-консолидатора ещё нет. </w:t>
      </w:r>
      <w:r>
        <w:rPr>
          <w:rFonts w:ascii="Calibri" w:cs="Calibri" w:eastAsia="Calibri" w:hAnsi="Calibri"/>
          <w:sz w:val="22"/>
          <w:szCs w:val="22"/>
        </w:rPr>
        <w:t xml:space="preserve">Когда туда зайдут KKR/Hg/Apax (а они зайдут — это вопрос 12–24 мес), будет слишком поздно для нового entrant.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Вертикальный sub-focus на e-com / SaaS / scale-ups </w:t>
      </w:r>
      <w:r>
        <w:rPr>
          <w:rFonts w:ascii="Calibri" w:cs="Calibri" w:eastAsia="Calibri" w:hAnsi="Calibri"/>
          <w:sz w:val="22"/>
          <w:szCs w:val="22"/>
        </w:rPr>
        <w:t xml:space="preserve">даёт defensibility против будущей конкуренции generalists и более высокий exit-мультипликатор (вертикальные плеи в US торгуются с premium).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Italian market: 100,000+ commercialisti, </w:t>
      </w:r>
      <w:r>
        <w:rPr>
          <w:rFonts w:ascii="Calibri" w:cs="Calibri" w:eastAsia="Calibri" w:hAnsi="Calibri"/>
          <w:sz w:val="22"/>
          <w:szCs w:val="22"/>
        </w:rPr>
        <w:t xml:space="preserve">регуляторно проще немецкого, есть pool из Big-4 и mid-tier alumni которые могут стать founding partners. Italian PE funds (Investindustrial, Ardian, Permira Italy office) могут стать LP/co-investors.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6.3. 18-месячный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7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задачи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Капитал/ресурсы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— Foundation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Мес 0–3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Найти local CEO (ex-Big-4 partner, 15+ лет, network в Milano/Madrid/Lisboa). Структура: holding в LU/NL, operating entity в стране. Set up ASA-структура для будущего audit-overlap. Pre-LBO equity raise — €5M friends + family + family office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€5M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Anchor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Мес 3–9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Купить anchor firm (€2–5M EBITDA, 5–10 партнёров, recurring 70%+, ARPU €30K+). Earn-out 24 мес. Rollover 30%. Deploy AI-stack (Karbon + Finmatics + custom Anthropic/OpenAI workflows). Talent retention bonus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€15–20M (anchor) + €1M tech setup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Add-ons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Мес 9–18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 add-ons (€500K–€2M EBITDA each). Integration: SOP'и, single billing system, cross-sell advisory. Pricing power +10–15% после AI-savings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€10–15M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Scale prep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Мес 18–24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 debt refi, growth equity Series B (€30–50M) для acceleration. Готовить data room для будущего exit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€30–50M growth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6.4. Critical success factors (что обычно убивает roll-ups)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Local CEO ≠ founder из PE. </w:t>
      </w:r>
      <w:r>
        <w:rPr>
          <w:rFonts w:ascii="Calibri" w:cs="Calibri" w:eastAsia="Calibri" w:hAnsi="Calibri"/>
          <w:sz w:val="22"/>
          <w:szCs w:val="22"/>
        </w:rPr>
        <w:t xml:space="preserve">Нужен оперативник из индустрии, желательно с опытом sell-side в Big-4 (понимает партнёрскую культуру). Без него — "Frankenstein".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AI-stack не "бонус", а core. </w:t>
      </w:r>
      <w:r>
        <w:rPr>
          <w:rFonts w:ascii="Calibri" w:cs="Calibri" w:eastAsia="Calibri" w:hAnsi="Calibri"/>
          <w:sz w:val="22"/>
          <w:szCs w:val="22"/>
        </w:rPr>
        <w:t xml:space="preserve">Decision-критично: либо build (нужна in-house tech team как у Thrive/Crete), либо deep partnership с native vendor (Pennylane / Puzzle / Karbon). NB: vendor lock-in риск.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Брендинг — single или multi. </w:t>
      </w:r>
      <w:r>
        <w:rPr>
          <w:rFonts w:ascii="Calibri" w:cs="Calibri" w:eastAsia="Calibri" w:hAnsi="Calibri"/>
          <w:sz w:val="22"/>
          <w:szCs w:val="22"/>
        </w:rPr>
        <w:t xml:space="preserve">PIA Group выбрала multi-brand (16 брендов NL); Crete выбрала platform brand. Multi-brand сохраняет local relationships, но мешает экзит-мультипликатору. Решить рано.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Партнёр retention как KPI #1. </w:t>
      </w:r>
      <w:r>
        <w:rPr>
          <w:rFonts w:ascii="Calibri" w:cs="Calibri" w:eastAsia="Calibri" w:hAnsi="Calibri"/>
          <w:sz w:val="22"/>
          <w:szCs w:val="22"/>
        </w:rPr>
        <w:t xml:space="preserve">Целиться на &lt;10% партнёр-attrition в первые 24 мес. Rollover equity 30%+, earn-out 24 мес, vested over 4 years.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"Tech debt of acquisition". </w:t>
      </w:r>
      <w:r>
        <w:rPr>
          <w:rFonts w:ascii="Calibri" w:cs="Calibri" w:eastAsia="Calibri" w:hAnsi="Calibri"/>
          <w:sz w:val="22"/>
          <w:szCs w:val="22"/>
        </w:rPr>
        <w:t xml:space="preserve">Каждая фирма приходит со своим стеком — Exact, AccountView, Twinfield, Yuki в NL; Sage, Xero, QBO в UK; местные системы в Италии. Standardise within 6 мес после close, иначе integration становится недостижимой.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Reputation risk: </w:t>
      </w:r>
      <w:r>
        <w:rPr>
          <w:rFonts w:ascii="Calibri" w:cs="Calibri" w:eastAsia="Calibri" w:hAnsi="Calibri"/>
          <w:sz w:val="22"/>
          <w:szCs w:val="22"/>
        </w:rPr>
        <w:t xml:space="preserve">regulator (AFM/OEC/H3C/CGCEC) активно мониторят. Одна громкая аудиторская ошибка — и весь PE-deal flow попадает под прицел.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Противоречия в источниках (явные)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Спор 1: Закончилась ли PE-эра в Дutch accountancy?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[T2] Accountant.nl (октябрь 2025): </w:t>
      </w:r>
      <w:r>
        <w:rPr>
          <w:rFonts w:ascii="Calibri" w:cs="Calibri" w:eastAsia="Calibri" w:hAnsi="Calibri"/>
          <w:sz w:val="22"/>
          <w:szCs w:val="22"/>
        </w:rPr>
        <w:t xml:space="preserve">"Private equity is uitgespeeld in de Nederlandse accountancy" — рынок "насыщен", качественные таргеты разобраны.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[T2] Accountancy Vanmorgen (ноябрь 2025): </w:t>
      </w:r>
      <w:r>
        <w:rPr>
          <w:rFonts w:ascii="Calibri" w:cs="Calibri" w:eastAsia="Calibri" w:hAnsi="Calibri"/>
          <w:sz w:val="22"/>
          <w:szCs w:val="22"/>
        </w:rPr>
        <w:t xml:space="preserve">"AV-Top 50: private equity dominanter aanwezig" — PE доля растёт, новые сделки продолжаются (PIA Group, Newtone).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UNRESOLVED. </w:t>
      </w:r>
      <w:r>
        <w:rPr>
          <w:rFonts w:ascii="Calibri" w:cs="Calibri" w:eastAsia="Calibri" w:hAnsi="Calibri"/>
          <w:sz w:val="22"/>
          <w:szCs w:val="22"/>
        </w:rPr>
        <w:t xml:space="preserve">Скорее всего оба правы: top-tier таргеты разобраны, но "длинный хвост" малых кантор ещё в игре. ⇒ для оператора в NL — strategically ниже уровня top-15 ещё есть okno на 12–18 мес.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Спор 2: AI-multiple expansion работает или нет?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[T2] Transacted, Capital Founders OS: </w:t>
      </w:r>
      <w:r>
        <w:rPr>
          <w:rFonts w:ascii="Calibri" w:cs="Calibri" w:eastAsia="Calibri" w:hAnsi="Calibri"/>
          <w:sz w:val="22"/>
          <w:szCs w:val="22"/>
        </w:rPr>
        <w:t xml:space="preserve">"Capital deployed &gt;$3B, deals accelerating, Crete &gt;$300M revenue, named fastest-growing accounting firm 2025". Тезис работает.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[T2] CFO Brew / Yahoo Finance, multi-source: </w:t>
      </w:r>
      <w:r>
        <w:rPr>
          <w:rFonts w:ascii="Calibri" w:cs="Calibri" w:eastAsia="Calibri" w:hAnsi="Calibri"/>
          <w:sz w:val="22"/>
          <w:szCs w:val="22"/>
        </w:rPr>
        <w:t xml:space="preserve">AI-transformed BPO firms trade 5–23× EV/EBITDA, гэп к software (22–92×) не закрылся. Theoretical arbitrage не материализовался.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PARTIALLY RESOLVED. </w:t>
      </w:r>
      <w:r>
        <w:rPr>
          <w:rFonts w:ascii="Calibri" w:cs="Calibri" w:eastAsia="Calibri" w:hAnsi="Calibri"/>
          <w:sz w:val="22"/>
          <w:szCs w:val="22"/>
        </w:rPr>
        <w:t xml:space="preserve">Margin expansion работает (от 10–15% до 25–35% EBITDA margin) — операционный value реален. Multiple expansion НЕ работает (multiples остаются services-level). ⇒ возврат не "unicorn-class" но всё ещё 3–5× MOIC через operational improvement + leverage.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Спор 3: Multi-brand vs single-brand стратегия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PIA Group (Baltisse, NL/BE): </w:t>
      </w:r>
      <w:r>
        <w:rPr>
          <w:rFonts w:ascii="Calibri" w:cs="Calibri" w:eastAsia="Calibri" w:hAnsi="Calibri"/>
          <w:sz w:val="22"/>
          <w:szCs w:val="22"/>
        </w:rPr>
        <w:t xml:space="preserve">16 брендов NL, сохраняют local identity, "network of regional brands". Тезис: local relationships &gt; brand premium.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Crete, Ascend, Aprio (US): </w:t>
      </w:r>
      <w:r>
        <w:rPr>
          <w:rFonts w:ascii="Calibri" w:cs="Calibri" w:eastAsia="Calibri" w:hAnsi="Calibri"/>
          <w:sz w:val="22"/>
          <w:szCs w:val="22"/>
        </w:rPr>
        <w:t xml:space="preserve">Strong platform brands, переименовывают всё под одну марку. Тезис: brand premium → higher exit multiple.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Xeinadin (UK): </w:t>
      </w:r>
      <w:r>
        <w:rPr>
          <w:rFonts w:ascii="Calibri" w:cs="Calibri" w:eastAsia="Calibri" w:hAnsi="Calibri"/>
          <w:sz w:val="22"/>
          <w:szCs w:val="22"/>
        </w:rPr>
        <w:t xml:space="preserve">100+ брендов, аукцион свернулся именно из-за невозможности integration. Контрпример к multi-brand.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UNRESOLVED. </w:t>
      </w:r>
      <w:r>
        <w:rPr>
          <w:rFonts w:ascii="Calibri" w:cs="Calibri" w:eastAsia="Calibri" w:hAnsi="Calibri"/>
          <w:sz w:val="22"/>
          <w:szCs w:val="22"/>
        </w:rPr>
        <w:t xml:space="preserve">Эмпирически: multi-brand работает если у тебя есть operational backbone (common ERP, common compliance, common pricing); провал, если каждый бренд продолжает работать как раньше. Xeinadin провалился потому что Exponent купил, но не интегрировал.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Чего мы не знаем (gaps)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Реальная экономика после AI-deployment. </w:t>
      </w:r>
      <w:r>
        <w:rPr>
          <w:rFonts w:ascii="Calibri" w:cs="Calibri" w:eastAsia="Calibri" w:hAnsi="Calibri"/>
          <w:sz w:val="22"/>
          <w:szCs w:val="22"/>
        </w:rPr>
        <w:t xml:space="preserve">Cited time savings ("32% faster close", "7 weeks/year/employee") приходят от vendors (Karbon, FloQast). Независимых аудиторских данных по EBITDA-margin expansion после AI-внедрения — нет.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Italy/Spain pipeline &amp; multiples. </w:t>
      </w:r>
      <w:r>
        <w:rPr>
          <w:rFonts w:ascii="Calibri" w:cs="Calibri" w:eastAsia="Calibri" w:hAnsi="Calibri"/>
          <w:sz w:val="22"/>
          <w:szCs w:val="22"/>
        </w:rPr>
        <w:t xml:space="preserve">Public data по конкретным сделкам в Italian/Iberian accountancy секторе очень ограничены. Нужны: Pitchbook query, broker contacts (Houlihan Lokey, Lincoln, KPMG Corporate Finance), local PE network.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Партнёр-attrition rates post-PE. </w:t>
      </w:r>
      <w:r>
        <w:rPr>
          <w:rFonts w:ascii="Calibri" w:cs="Calibri" w:eastAsia="Calibri" w:hAnsi="Calibri"/>
          <w:sz w:val="22"/>
          <w:szCs w:val="22"/>
        </w:rPr>
        <w:t xml:space="preserve">Нет публичной аналитики по тому, сколько партнёров уходит в год 1–3 после PE-сделки. Анекдотические данные говорят 10–25%, но это не источник для базы decision.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AFM regulatory roadmap. </w:t>
      </w:r>
      <w:r>
        <w:rPr>
          <w:rFonts w:ascii="Calibri" w:cs="Calibri" w:eastAsia="Calibri" w:hAnsi="Calibri"/>
          <w:sz w:val="22"/>
          <w:szCs w:val="22"/>
        </w:rPr>
        <w:t xml:space="preserve">AFM анонсировал "раздумывает над ужесточением" PE-rules, но конкретики нет. Может оказаться deal-killer для NL — нужен primary outreach в AFM или к Loyens &amp; Loeff / De Brauw.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EU-level reform risk. </w:t>
      </w:r>
      <w:r>
        <w:rPr>
          <w:rFonts w:ascii="Calibri" w:cs="Calibri" w:eastAsia="Calibri" w:hAnsi="Calibri"/>
          <w:sz w:val="22"/>
          <w:szCs w:val="22"/>
        </w:rPr>
        <w:t xml:space="preserve">Statutory Audit Directive review on the cards (per Accountancy Europe). Изменения в ownership rules может radically изменить deal mechanics.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Pricing power of AI-savings. </w:t>
      </w:r>
      <w:r>
        <w:rPr>
          <w:rFonts w:ascii="Calibri" w:cs="Calibri" w:eastAsia="Calibri" w:hAnsi="Calibri"/>
          <w:sz w:val="22"/>
          <w:szCs w:val="22"/>
        </w:rPr>
        <w:t xml:space="preserve">Если AI снижает cost-to-serve на 40%, какая доля идёт в margin vs цена клиента? Race-to-bottom через price competition или premium pricing? Эмпирически неясно.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Talent availability in Southern Europe. </w:t>
      </w:r>
      <w:r>
        <w:rPr>
          <w:rFonts w:ascii="Calibri" w:cs="Calibri" w:eastAsia="Calibri" w:hAnsi="Calibri"/>
          <w:sz w:val="22"/>
          <w:szCs w:val="22"/>
        </w:rPr>
        <w:t xml:space="preserve">Ключевой gating factor для Variant A — найти ex-Big-4 partner-кандидата. Не проверено.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Рекомендация: следующий шаг (если рекомендация принята) — нанять local PE-консультанта в Италии или Испании на 4-недельный focused engagement: pipeline mapping (top 200 commercialisti с €1M+ revenue), 5–10 первичных встреч с potential anchor partners, валидация multiple ranges, regulatory deep-dive с tier-1 law firm (BonelliErede / Cuatrecasas).</w:t>
      </w:r>
    </w:p>
    <w:p>
      <w:pPr>
        <w:pBdr>
          <w:bottom w:val="single" w:color="2E5395" w:sz="6" w:space="1"/>
        </w:pBdr>
        <w:spacing w:after="80" w:before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Источники (с tier-маркером)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Tier 1 — primary sources (regulators, official trade bodies, audited reports):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tyaowyednsqq3jkisyl6d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Accountancy Europe — Private equity investments in accountancy firms (June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zaecr7r-btqzrjqf93r-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Accountancy Europe — Beyond private equity: third party ownership (November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bm5mi-c5zaopol0zikrq_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AFM — Private equity in auditing industry (April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4bmpmkuri3nbx2fcasbm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ICAEW — Private equity investment in audit firms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7ae10vnsl4yfegymk9qn4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IESBA — Staff Alert on PE investment in accounting firms (July 2025)</w:t>
        </w:r>
      </w:hyperlink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Tier 2 — major industry &amp; financial press (high quality, multi-verified):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6udnibnk7pyzhgphyxc8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CPA Trendlines — PE Wars: Top CPA Platforms Battle for Supremacy (April 2026)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zrcsnw8ac2pn5icshy-5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Accounting Today — Private equity in accounting: The end of the beginning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vnytj-kqe0ee9efuwfxjg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Bloomberg Tax — Private Equity-Fueled Shakeup Coming for Accounting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ml9hiom1kvzzkdd3fl1mx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Accountancy Age — Why the Xeinadin auction collapse is a reality check (Feb 2026)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azopo03e0asfs140e2qyx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International Accounting Bulletin — Xeinadin auction pulled after buyers reject £1bn valuation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app3jc5kwj-qfst02zkr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International Accounting Bulletin — CPA plans more than $500m acquisitions investment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nnw2gszzg5sjg3qiapk1d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Accounting Today — Crete PA plans $500M spend to buy and upgrade firms with AI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c-hyrmsx7a6xvkcwxigk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Accountant.nl — Private equity is uitgespeeld in de Nederlandse accountancy (Oct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5oxx0nvetqueqb801tcrt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Accountancy Vanmorgen — AV-Top 50: private equity dominanter aanwezig (Nov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b4hlchbr5wacomrrkromx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MenA.nl — Wie zijn de grote consolidators in de accountancy?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l2d5fodi3_av-lnzzcnt_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Accountant.nl — Overnamesom accountantskantoren tienmaal de ebitda (May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zyvqagrqu8gkpeanjulrs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Accountancy Age — Top 75 Firms Survey 2025: watershed year for accountants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dwdjsnfshvpt7m4j1neqo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Crowe UK — Private equity consolidation in the UK market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4wcu4vwybxavpnetscied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Capstone Partners — Accounting Services Market Update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uoafa0bjz5x_tm_kumot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PE Hub — Inflexion-backed Baker Tilly Netherlands and Baker Tilly Belgium to consolidate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iztb99q_s8b6hshxuumi_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Inflexion — Baker Tilly Netherlands strategic minority investment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8_wjtode1ijz98tifwhfd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Rivean Capital — Crowe Foederer (Feb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hryluzwbeu9l4jemd8mi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Waterland — COGEP profile (France, 2023)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2xv0ddp8kbgzfurld49d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Mainsights — KKR acquires majority stake in ETL Group (March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cgwq6ormyqyr5yly8tcj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Visma — Strengthens DACH offering with milia.io and Taxy.io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ce41agfbpxxklbbydchr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AnaCap — DK Accountants &amp; Adviseurs (Jan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g5ficcwlf_z01vwmglkvp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PIA Group — PIA Group kicks off 2025 with 7 new accountancy firms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o449efmkfsuq7ic7otu3d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Dealsuite — European Monitor September 2025 (DACH multiples)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utth55wbu5e1kq6zwgeo9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EU-Startups — Pennylane secures €175M (2026)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2kydt9xcbwcjpbonpx2n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Tech.eu — Visma strengthens DACH with milia.io and Taxy.io (Aug 2025)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a-s4y3dx0bkidm3a9uqf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Transacted — Venture Firms Target Accounting Roll-Ups with AI Automation Play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jimqcyppto_n1ds15vhs7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CFO Brew — Accounting enters its private equity 'flip' era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pc2e_djcxkioxa-jfovu1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Karbon — Guide to AI in Accounting 2026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0orc4yxlzmsmry_-ahnpy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White &amp; Case — Building Better Earnouts In The Current M&amp;A Climate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n-hzbgpbjp9okhrsyb_n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Auxo Capital — Accounting Firm Valuation Multiples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vnhhbo1qbve4onyk2985_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Auxo Capital — Rollover Equity in M&amp;A Explained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x37bqmyady1d4fb7xpsj9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Yahoo / CFO Brew — 'AI roll-up' investors think services firms can trade more like software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nqsktqje6xbcr5oslyomp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CFO.com — The best AI model still fails 1 in 5 accounting tasks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wwka7fywnet7-_d9cws8-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IBISWorld — Accounting &amp; Auditing in Europe Industry Analysis 2025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bdl4k36kbuhmkqcaj8vsu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ClearlyAcquired — How Crete is Transforming Local CPA Firms with VC-Backed AI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0j-vcbxzjuzocdhsuauqa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Brookz — Accountantskantoor verkopen — branche-informatie</w:t>
        </w:r>
      </w:hyperlink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Tier 3 — supplementary / playbooks (use with care):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shatavmqj7vcmgwuaszpy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Capital Founders OS — Founder's Guide to AI-Enabled Roll-Ups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cqwczqym2zlbpk5nf8pph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L40 — AI rollups in 2025: What Founders Need to Know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qaxncgm2ahf8jooqjqo6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Madras Accountancy — Why Private Equity Firms Buy Accounting Firms 2025</w:t>
        </w:r>
      </w:hyperlink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yaowcryrlo5g5ey_qci-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TheFinanceStory — PE Accounting roll-ups hitting a reality check</w:t>
        </w:r>
      </w:hyperlink>
    </w:p>
    <w:p>
      <w:pPr>
        <w:pBdr>
          <w:bottom w:val="single" w:color="2E5395" w:sz="6" w:space="1"/>
        </w:pBdr>
        <w:spacing w:after="80" w:before="8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— Конец меморандума —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Deep Research: AI Roll-Up Accounting  •  21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yaowyednsqq3jkisyl6d" Type="http://schemas.openxmlformats.org/officeDocument/2006/relationships/hyperlink" Target="https://accountancyeurope.eu/publications/private-equity-investments-in-accountancy-firms/" TargetMode="External"/><Relationship Id="rIdzaecr7r-btqzrjqf93r-r" Type="http://schemas.openxmlformats.org/officeDocument/2006/relationships/hyperlink" Target="https://accountancyeurope.eu/publications/beyond-private-equity-third-party-ownership-in-the-accountancy-and-audit-sector/" TargetMode="External"/><Relationship Id="rIdbm5mi-c5zaopol0zikrq_" Type="http://schemas.openxmlformats.org/officeDocument/2006/relationships/hyperlink" Target="https://www.afm.nl/en/sector/actueel/2025/apr/sb-private-equity" TargetMode="External"/><Relationship Id="rId4bmpmkuri3nbx2fcasbm5" Type="http://schemas.openxmlformats.org/officeDocument/2006/relationships/hyperlink" Target="https://www.icaew.com/regulation/working-in-the-regulated-area-of-audit/audit-regulations-and-guidance/private-equity-investment-in-audit-firms" TargetMode="External"/><Relationship Id="rId7ae10vnsl4yfegymk9qn4" Type="http://schemas.openxmlformats.org/officeDocument/2006/relationships/hyperlink" Target="https://www.ethicsboard.org/news-events/2025-07/private-equity-investment-accounting-firms-and-related-ethical-and-independence-considerations-iesba" TargetMode="External"/><Relationship Id="rId6udnibnk7pyzhgphyxc85" Type="http://schemas.openxmlformats.org/officeDocument/2006/relationships/hyperlink" Target="https://cpatrendlines.com/2026/04/01/platform-wars-private-equity-cpa-firms/" TargetMode="External"/><Relationship Id="rIdzrcsnw8ac2pn5icshy-5n" Type="http://schemas.openxmlformats.org/officeDocument/2006/relationships/hyperlink" Target="https://www.accountingtoday.com/news/private-equity-in-accounting-the-end-of-the-beginning" TargetMode="External"/><Relationship Id="rIdvnytj-kqe0ee9efuwfxjg" Type="http://schemas.openxmlformats.org/officeDocument/2006/relationships/hyperlink" Target="https://news.bloombergtax.com/financial-accounting/private-equity-fueled-shakeup-coming-for-accounting-industry" TargetMode="External"/><Relationship Id="rIdml9hiom1kvzzkdd3fl1mx" Type="http://schemas.openxmlformats.org/officeDocument/2006/relationships/hyperlink" Target="https://accountancyage.com/2026/02/03/why-the-xeinadin-auction-collapse-is-a-reality-check-for-the-mid-tier/" TargetMode="External"/><Relationship Id="rIdazopo03e0asfs140e2qyx" Type="http://schemas.openxmlformats.org/officeDocument/2006/relationships/hyperlink" Target="https://www.internationalaccountingbulletin.com/news/xeinadin-auction-pulled-after/" TargetMode="External"/><Relationship Id="rIdapp3jc5kwj-qfst02zkrr" Type="http://schemas.openxmlformats.org/officeDocument/2006/relationships/hyperlink" Target="https://www.internationalaccountingbulletin.com/news/cpa-over-500m-investment-us-accounting-firms/" TargetMode="External"/><Relationship Id="rIdnnw2gszzg5sjg3qiapk1d" Type="http://schemas.openxmlformats.org/officeDocument/2006/relationships/hyperlink" Target="https://www.accountingtoday.com/news/crete-pa-plans-500-million-spend-to-buy-and-upgrade-firms-with-ai" TargetMode="External"/><Relationship Id="rIdc-hyrmsx7a6xvkcwxigk5" Type="http://schemas.openxmlformats.org/officeDocument/2006/relationships/hyperlink" Target="https://www.accountant.nl/achtergrond/2025/10/private-equity-is-uitgespeeld-in-de-nederlandse-accountancy/" TargetMode="External"/><Relationship Id="rId5oxx0nvetqueqb801tcrt" Type="http://schemas.openxmlformats.org/officeDocument/2006/relationships/hyperlink" Target="https://www.accountancyvanmorgen.nl/2025/11/27/av-top-50-av-top-50-private-equity-dominanter-aanwezig/" TargetMode="External"/><Relationship Id="rIdb4hlchbr5wacomrrkromx" Type="http://schemas.openxmlformats.org/officeDocument/2006/relationships/hyperlink" Target="https://mena.nl/artikel/wie-zijn-de-grootste-overnemers-in-de-nederlandse-accountancy-sector/" TargetMode="External"/><Relationship Id="rIdl2d5fodi3_av-lnzzcnt_" Type="http://schemas.openxmlformats.org/officeDocument/2006/relationships/hyperlink" Target="https://www.accountancyvanmorgen.nl/2025/05/30/overnamesom-accountantskantoren-tienmaal-de-ebitda/" TargetMode="External"/><Relationship Id="rIdzyvqagrqu8gkpeanjulrs" Type="http://schemas.openxmlformats.org/officeDocument/2006/relationships/hyperlink" Target="https://www.accountancydaily.co/top-75-firms-survey-2025-watershed-year-accountants" TargetMode="External"/><Relationship Id="rIddwdjsnfshvpt7m4j1neqo" Type="http://schemas.openxmlformats.org/officeDocument/2006/relationships/hyperlink" Target="https://www.crowe.com/uk/insights/private-equity-consolidation-uk-market" TargetMode="External"/><Relationship Id="rId4wcu4vwybxavpnetscied" Type="http://schemas.openxmlformats.org/officeDocument/2006/relationships/hyperlink" Target="https://www.capstonepartners.com/insights/article-accounting-services-market-update/" TargetMode="External"/><Relationship Id="rIduoafa0bjz5x_tm_kumotk" Type="http://schemas.openxmlformats.org/officeDocument/2006/relationships/hyperlink" Target="https://www.pehub.com/inflexion-backed-baker-tilly-netherlands-and-baker-tilly-belgium-to-consolidate/" TargetMode="External"/><Relationship Id="rIdiztb99q_s8b6hshxuumi_" Type="http://schemas.openxmlformats.org/officeDocument/2006/relationships/hyperlink" Target="https://www.inflexion.com/news-insights-events/press-releases/2025/inflexion-makes-strategic-minority-investment-in-baker-tilly-netherlands/" TargetMode="External"/><Relationship Id="rId8_wjtode1ijz98tifwhfd" Type="http://schemas.openxmlformats.org/officeDocument/2006/relationships/hyperlink" Target="https://riveancapital.com/news/crowe-foederer-attracts-investment-from-rivean-capital-to-accelerate-growth/" TargetMode="External"/><Relationship Id="rIdhryluzwbeu9l4jemd8mir" Type="http://schemas.openxmlformats.org/officeDocument/2006/relationships/hyperlink" Target="https://www.waterlandpe.com/company/cogep/" TargetMode="External"/><Relationship Id="rId2xv0ddp8kbgzfurld49db" Type="http://schemas.openxmlformats.org/officeDocument/2006/relationships/hyperlink" Target="https://www.mainsights.io/ma-news/us-based-pe-firm-kkr-acquires-majority-stake-in-german-tax-advisory-conglomerate-etl-group" TargetMode="External"/><Relationship Id="rIdcgwq6ormyqyr5yly8tcjr" Type="http://schemas.openxmlformats.org/officeDocument/2006/relationships/hyperlink" Target="https://www.visma.com/news/visma-strengthens-offering-to-german-accountants-and-tax-advisors-with-two-acquisitions" TargetMode="External"/><Relationship Id="rIdce41agfbpxxklbbydchrc" Type="http://schemas.openxmlformats.org/officeDocument/2006/relationships/hyperlink" Target="https://www.anacap.com/news/anacap-signs-agreement-to-acquire-majority-stake-in-dk-accountants-adviseurs-a-leading-founder-led-dutch-accountancy-services-provider/" TargetMode="External"/><Relationship Id="rIdg5ficcwlf_z01vwmglkvp" Type="http://schemas.openxmlformats.org/officeDocument/2006/relationships/hyperlink" Target="https://www.piagroup.company/en/news/pia-group-kicks-off-2025-with-7-new-accountancy-firms-in-one-fell-swoop" TargetMode="External"/><Relationship Id="rIdo449efmkfsuq7ic7otu3d" Type="http://schemas.openxmlformats.org/officeDocument/2006/relationships/hyperlink" Target="https://www.dealsuite.com/en/blogs/european-monitor-september-2025" TargetMode="External"/><Relationship Id="rIdutth55wbu5e1kq6zwgeo9" Type="http://schemas.openxmlformats.org/officeDocument/2006/relationships/hyperlink" Target="https://www.eu-startups.com/2026/01/sequoia-backed-french-accounting-unicorn-pennylane-secures-e175-million-as-it-approaches-profitability/" TargetMode="External"/><Relationship Id="rId2kydt9xcbwcjpbonpx2nc" Type="http://schemas.openxmlformats.org/officeDocument/2006/relationships/hyperlink" Target="https://tech.eu/2025/08/22/visma-strengthens-foothold-in-dach-with-ai-driven-acquisitions-of-miliaio-and-taxyio/" TargetMode="External"/><Relationship Id="rIda-s4y3dx0bkidm3a9uqfn" Type="http://schemas.openxmlformats.org/officeDocument/2006/relationships/hyperlink" Target="https://www.transacted.io/venture-firms-target-accounting-roll-ups-with-ai-automation-play" TargetMode="External"/><Relationship Id="rIdjimqcyppto_n1ds15vhs7" Type="http://schemas.openxmlformats.org/officeDocument/2006/relationships/hyperlink" Target="https://www.cfobrew.com/stories/2026/04/30/accounting-enters-its-private-equity-flip-era" TargetMode="External"/><Relationship Id="rIdpc2e_djcxkioxa-jfovu1" Type="http://schemas.openxmlformats.org/officeDocument/2006/relationships/hyperlink" Target="https://karbonhq.com/resources/ai-in-accounting/" TargetMode="External"/><Relationship Id="rId0orc4yxlzmsmry_-ahnpy" Type="http://schemas.openxmlformats.org/officeDocument/2006/relationships/hyperlink" Target="https://www.whitecase.com/insight-our-thinking/building-better-earnouts-current-ma-climate" TargetMode="External"/><Relationship Id="rIdn-hzbgpbjp9okhrsyb_nj" Type="http://schemas.openxmlformats.org/officeDocument/2006/relationships/hyperlink" Target="https://auxocapitaladvisors.com/accounting-firm-ma-valuation-multiples/" TargetMode="External"/><Relationship Id="rIdvnhhbo1qbve4onyk2985_" Type="http://schemas.openxmlformats.org/officeDocument/2006/relationships/hyperlink" Target="https://auxocapitaladvisors.com/rollover-equity-ma/" TargetMode="External"/><Relationship Id="rIdx37bqmyady1d4fb7xpsj9" Type="http://schemas.openxmlformats.org/officeDocument/2006/relationships/hyperlink" Target="https://finance.yahoo.com/news/ai-rollup-investors-think-services-121800611.html" TargetMode="External"/><Relationship Id="rIdnqsktqje6xbcr5oslyomp" Type="http://schemas.openxmlformats.org/officeDocument/2006/relationships/hyperlink" Target="https://www.cfo.com/news/the-best-ai-model-still-fails-1-in-5-accounting-tasks-Claude-Opus-OpenAI-GPT/818100/" TargetMode="External"/><Relationship Id="rIdwwka7fywnet7-_d9cws8-" Type="http://schemas.openxmlformats.org/officeDocument/2006/relationships/hyperlink" Target="https://www.ibisworld.com/europe/industry/accounting-auditing/200284/" TargetMode="External"/><Relationship Id="rIdbdl4k36kbuhmkqcaj8vsu" Type="http://schemas.openxmlformats.org/officeDocument/2006/relationships/hyperlink" Target="https://www.clearlyacquired.com/blog/accounting-reimagined-how-crete-is-transforming-local-cpa-firms-with-venture-backed-ai-innovation" TargetMode="External"/><Relationship Id="rId0j-vcbxzjuzocdhsuauqa" Type="http://schemas.openxmlformats.org/officeDocument/2006/relationships/hyperlink" Target="https://www.brookz.nl/branche-informatie/accountantskantoor" TargetMode="External"/><Relationship Id="rIdshatavmqj7vcmgwuaszpy" Type="http://schemas.openxmlformats.org/officeDocument/2006/relationships/hyperlink" Target="https://www.capitalfounders.io/playbooks/ai-enabled-roll-ups/" TargetMode="External"/><Relationship Id="rIdcqwczqym2zlbpk5nf8pph" Type="http://schemas.openxmlformats.org/officeDocument/2006/relationships/hyperlink" Target="https://www.l40.com/insights/ai-rollups" TargetMode="External"/><Relationship Id="rIdqaxncgm2ahf8jooqjqo6c" Type="http://schemas.openxmlformats.org/officeDocument/2006/relationships/hyperlink" Target="https://madrasaccountancy.com/blog-posts/why-private-equity-firms-buy-accounting-firms-2025-analysis-ma" TargetMode="External"/><Relationship Id="rIdyaowcryrlo5g5ey_qci-j" Type="http://schemas.openxmlformats.org/officeDocument/2006/relationships/hyperlink" Target="https://thefinancestory.com/private-equity-accounting-roll-ups-hitting-reality-check" TargetMode="External"/><Relationship Id="rId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Roll-Up Bookkeeping Deep Research</dc:title>
  <dc:creator>Claude (Deep Research)</dc:creator>
  <cp:lastModifiedBy>Un-named</cp:lastModifiedBy>
  <cp:revision>1</cp:revision>
  <dcterms:created xsi:type="dcterms:W3CDTF">2026-05-21T07:26:50.918Z</dcterms:created>
  <dcterms:modified xsi:type="dcterms:W3CDTF">2026-05-21T07:26:50.920Z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