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72"/>
        </w:rPr>
        <w:br/>
        <w:br/>
        <w:br/>
        <w:t>PROJECT LEDGER</w:t>
      </w:r>
    </w:p>
    <w:p>
      <w:pPr>
        <w:jc w:val="center"/>
      </w:pPr>
      <w:r>
        <w:rPr>
          <w:color w:val="FF6B35"/>
          <w:sz w:val="40"/>
        </w:rPr>
        <w:t>AI-Enabled SMB Accounting Roll-Up</w:t>
      </w:r>
    </w:p>
    <w:p>
      <w:pPr>
        <w:jc w:val="center"/>
      </w:pPr>
      <w:r>
        <w:rPr>
          <w:i/>
          <w:color w:val="555555"/>
          <w:sz w:val="26"/>
        </w:rPr>
        <w:t>A Visma-style buy-and-build platform for Poland, Italy and Cyprus</w:t>
      </w:r>
    </w:p>
    <w:p>
      <w:r>
        <w:br/>
        <w:br/>
      </w:r>
    </w:p>
    <w:p>
      <w:pPr>
        <w:jc w:val="center"/>
      </w:pPr>
      <w:r>
        <w:rPr>
          <w:color w:val="555555"/>
          <w:sz w:val="22"/>
        </w:rPr>
        <w:t>Strategic Memo  ·  Founder Package  ·  May 2026</w:t>
        <w:br/>
      </w:r>
      <w:r>
        <w:rPr>
          <w:color w:val="AAAAAA"/>
          <w:sz w:val="20"/>
        </w:rPr>
        <w:t>Prepared for: Founders / Lead Investors</w:t>
        <w:br/>
        <w:t>Document: Strategic Memo (3 of 3) — paired with Financial Model (.xlsx) and Pitch Deck (.pptx)</w:t>
      </w:r>
    </w:p>
    <w:p>
      <w:r>
        <w:br w:type="page"/>
      </w:r>
    </w:p>
    <w:p>
      <w:pPr>
        <w:spacing w:before="360" w:after="120"/>
      </w:pPr>
      <w:r>
        <w:rPr>
          <w:rFonts w:ascii="Calibri" w:hAnsi="Calibri"/>
          <w:b/>
          <w:color w:val="1F3A5F"/>
          <w:sz w:val="40"/>
        </w:rPr>
        <w:t>Contents</w:t>
      </w:r>
    </w:p>
    <w:p>
      <w:pPr>
        <w:spacing w:after="40"/>
      </w:pPr>
      <w:r>
        <w:rPr>
          <w:rFonts w:ascii="Calibri" w:hAnsi="Calibri"/>
          <w:sz w:val="22"/>
        </w:rPr>
        <w:t>1.  Executive Summary</w:t>
      </w:r>
    </w:p>
    <w:p>
      <w:pPr>
        <w:spacing w:after="40"/>
      </w:pPr>
      <w:r>
        <w:rPr>
          <w:rFonts w:ascii="Calibri" w:hAnsi="Calibri"/>
          <w:sz w:val="22"/>
        </w:rPr>
        <w:t>2.  Reference Analysis — Sumer.io and Visma</w:t>
      </w:r>
    </w:p>
    <w:p>
      <w:pPr>
        <w:spacing w:after="40"/>
      </w:pPr>
      <w:r>
        <w:rPr>
          <w:rFonts w:ascii="Calibri" w:hAnsi="Calibri"/>
          <w:sz w:val="22"/>
        </w:rPr>
        <w:t>3.  Strategic Thesis</w:t>
      </w:r>
    </w:p>
    <w:p>
      <w:pPr>
        <w:spacing w:after="40"/>
      </w:pPr>
      <w:r>
        <w:rPr>
          <w:rFonts w:ascii="Calibri" w:hAnsi="Calibri"/>
          <w:sz w:val="22"/>
        </w:rPr>
        <w:t>4.  Market Selection — Poland, Italy, Cyprus</w:t>
      </w:r>
    </w:p>
    <w:p>
      <w:pPr>
        <w:spacing w:after="40"/>
      </w:pPr>
      <w:r>
        <w:rPr>
          <w:rFonts w:ascii="Calibri" w:hAnsi="Calibri"/>
          <w:sz w:val="22"/>
        </w:rPr>
        <w:t>5.  Operating Model</w:t>
      </w:r>
    </w:p>
    <w:p>
      <w:pPr>
        <w:spacing w:after="40"/>
      </w:pPr>
      <w:r>
        <w:rPr>
          <w:rFonts w:ascii="Calibri" w:hAnsi="Calibri"/>
          <w:sz w:val="22"/>
        </w:rPr>
        <w:t>6.  M&amp;A Playbook</w:t>
      </w:r>
    </w:p>
    <w:p>
      <w:pPr>
        <w:spacing w:after="40"/>
      </w:pPr>
      <w:r>
        <w:rPr>
          <w:rFonts w:ascii="Calibri" w:hAnsi="Calibri"/>
          <w:sz w:val="22"/>
        </w:rPr>
        <w:t>7.  Software &amp; Technology Stack</w:t>
      </w:r>
    </w:p>
    <w:p>
      <w:pPr>
        <w:spacing w:after="40"/>
      </w:pPr>
      <w:r>
        <w:rPr>
          <w:rFonts w:ascii="Calibri" w:hAnsi="Calibri"/>
          <w:sz w:val="22"/>
        </w:rPr>
        <w:t>8.  100-Day Launch Plan</w:t>
      </w:r>
    </w:p>
    <w:p>
      <w:pPr>
        <w:spacing w:after="40"/>
      </w:pPr>
      <w:r>
        <w:rPr>
          <w:rFonts w:ascii="Calibri" w:hAnsi="Calibri"/>
          <w:sz w:val="22"/>
        </w:rPr>
        <w:t>9.  Capital Plan and Returns</w:t>
      </w:r>
    </w:p>
    <w:p>
      <w:pPr>
        <w:spacing w:after="40"/>
      </w:pPr>
      <w:r>
        <w:rPr>
          <w:rFonts w:ascii="Calibri" w:hAnsi="Calibri"/>
          <w:sz w:val="22"/>
        </w:rPr>
        <w:t>10.  Risks and Mitigations</w:t>
      </w:r>
    </w:p>
    <w:p>
      <w:pPr>
        <w:spacing w:after="40"/>
      </w:pPr>
      <w:r>
        <w:rPr>
          <w:rFonts w:ascii="Calibri" w:hAnsi="Calibri"/>
          <w:sz w:val="22"/>
        </w:rPr>
        <w:t>11.  Sources, Methodology, Open Questions</w:t>
      </w:r>
    </w:p>
    <w:p>
      <w:r>
        <w:br w:type="page"/>
      </w:r>
    </w:p>
    <w:p>
      <w:pPr>
        <w:spacing w:before="360" w:after="120"/>
      </w:pPr>
      <w:r>
        <w:rPr>
          <w:rFonts w:ascii="Calibri" w:hAnsi="Calibri"/>
          <w:b/>
          <w:color w:val="1F3A5F"/>
          <w:sz w:val="40"/>
        </w:rPr>
        <w:t>1. Executive Summary</w:t>
      </w:r>
    </w:p>
    <w:p>
      <w:pPr>
        <w:spacing w:after="80" w:line="300" w:lineRule="auto"/>
      </w:pPr>
      <w:r>
        <w:rPr>
          <w:rFonts w:ascii="Calibri" w:hAnsi="Calibri"/>
          <w:b w:val="0"/>
          <w:i w:val="0"/>
          <w:color w:val="101010"/>
          <w:sz w:val="22"/>
        </w:rPr>
        <w:t>Project Ledger is a buy-and-build holding company that acquires small, profitable accounting and bookkeeping practices in Poland, Italy and Cyprus, layers an AI-native automation stack across their books, and unifies them onto a single operating platform. The thesis is the Visma playbook, applied one geography down, with the Sumer.io product wedge as the AI overlay.</w:t>
      </w:r>
    </w:p>
    <w:p>
      <w:pPr>
        <w:spacing w:after="80" w:line="300" w:lineRule="auto"/>
      </w:pPr>
      <w:r>
        <w:rPr>
          <w:rFonts w:ascii="Calibri" w:hAnsi="Calibri"/>
          <w:b w:val="0"/>
          <w:i w:val="0"/>
          <w:color w:val="101010"/>
          <w:sz w:val="22"/>
        </w:rPr>
        <w:t>The opportunity is created by three forces converging at the same time:</w:t>
      </w:r>
    </w:p>
    <w:p>
      <w:pPr>
        <w:pStyle w:val="ListBullet"/>
        <w:spacing w:after="40" w:line="288" w:lineRule="auto"/>
      </w:pPr>
      <w:r>
        <w:rPr>
          <w:rFonts w:ascii="Calibri" w:hAnsi="Calibri"/>
          <w:b/>
          <w:sz w:val="21"/>
        </w:rPr>
        <w:t>Fragmentation:</w:t>
      </w:r>
      <w:r>
        <w:rPr>
          <w:rFonts w:ascii="Calibri" w:hAnsi="Calibri"/>
          <w:sz w:val="21"/>
        </w:rPr>
        <w:t xml:space="preserve"> long-tail fragmentation — over 11,000 sub-€2M accounting practices across PL/IT/CY, the majority owner-operated and approaching retirement;</w:t>
      </w:r>
    </w:p>
    <w:p>
      <w:pPr>
        <w:pStyle w:val="ListBullet"/>
        <w:spacing w:after="40" w:line="288" w:lineRule="auto"/>
      </w:pPr>
      <w:r>
        <w:rPr>
          <w:rFonts w:ascii="Calibri" w:hAnsi="Calibri"/>
          <w:b/>
          <w:sz w:val="21"/>
        </w:rPr>
        <w:t>Mandates:</w:t>
      </w:r>
      <w:r>
        <w:rPr>
          <w:rFonts w:ascii="Calibri" w:hAnsi="Calibri"/>
          <w:sz w:val="21"/>
        </w:rPr>
        <w:t xml:space="preserve"> a regulatory cliff (KSeF in Poland from Feb 2026, SdI in Italy since 2019, MyData adjacent in CY) forcing every small firm onto digital invoice rails — capability gap that smaller firms cannot close alone;</w:t>
      </w:r>
    </w:p>
    <w:p>
      <w:pPr>
        <w:pStyle w:val="ListBullet"/>
        <w:spacing w:after="40" w:line="288" w:lineRule="auto"/>
      </w:pPr>
      <w:r>
        <w:rPr>
          <w:rFonts w:ascii="Calibri" w:hAnsi="Calibri"/>
          <w:b/>
          <w:sz w:val="21"/>
        </w:rPr>
        <w:t>AI overlay:</w:t>
      </w:r>
      <w:r>
        <w:rPr>
          <w:rFonts w:ascii="Calibri" w:hAnsi="Calibri"/>
          <w:sz w:val="21"/>
        </w:rPr>
        <w:t xml:space="preserve"> a credible AI-accounting product layer — OCR, auto-categorization, invoice matching, draft-VAT, anomaly flagging — that compresses 60–70% of a junior bookkeeper's working hours and converts the practice from labor-arbitrage to software-margin economics.</w:t>
      </w:r>
    </w:p>
    <w:p>
      <w:pPr>
        <w:spacing w:after="80" w:line="300" w:lineRule="auto"/>
      </w:pPr>
      <w:r>
        <w:rPr>
          <w:rFonts w:ascii="Calibri" w:hAnsi="Calibri"/>
          <w:b w:val="0"/>
          <w:i w:val="0"/>
          <w:color w:val="101010"/>
          <w:sz w:val="22"/>
        </w:rPr>
        <w:t>Visma has already validated the destination: it acquired Holded (Spain) in 2021 and Fiscozen (Italy) in 2024, and is now the consolidator of record in continental Europe. That validates demand and also exposes the only window we have: the next 24–36 months, before Visma or a US-funded equivalent (e.g. Sage, Wolters Kluwer, Vista Equity) prices us out of the long tail.</w:t>
      </w:r>
    </w:p>
    <w:p>
      <w:pPr>
        <w:spacing w:before="200" w:after="40"/>
      </w:pPr>
      <w:r>
        <w:rPr>
          <w:rFonts w:ascii="Calibri" w:hAnsi="Calibri"/>
          <w:b/>
          <w:color w:val="FF6B35"/>
          <w:sz w:val="23"/>
        </w:rPr>
        <w:t>The plan in one paragraph</w:t>
      </w:r>
    </w:p>
    <w:p>
      <w:pPr>
        <w:spacing w:after="80" w:line="300" w:lineRule="auto"/>
      </w:pPr>
      <w:r>
        <w:rPr>
          <w:rFonts w:ascii="Calibri" w:hAnsi="Calibri"/>
          <w:b w:val="0"/>
          <w:i w:val="0"/>
          <w:color w:val="101010"/>
          <w:sz w:val="21"/>
        </w:rPr>
        <w:t>Raise a €250k founder/angel round Day 1 plus a €750k extension by Day 90; close 2 anchor deals in Poland and a Cyprus holdco in months 4–6 (3.5–4.5× EBITDA on EUR 3–6M revenue practices); raise a €6M Series A in month 9 to fund a 14-deal pipeline through FY30; reach €33M revenue and €11M EBITDA by FY30 across PL/IT/CY; exit at 9–11× EBITDA to Visma, EQT, Hg, Vista or a SPAC at €90–110M EV, returning 5.5–7.0× MoIC to the seed and &gt;35% IRR to the Series A.</w:t>
      </w:r>
    </w:p>
    <w:p>
      <w:pPr>
        <w:spacing w:before="200" w:after="40"/>
      </w:pPr>
      <w:r>
        <w:rPr>
          <w:rFonts w:ascii="Calibri" w:hAnsi="Calibri"/>
          <w:b/>
          <w:color w:val="FF6B35"/>
          <w:sz w:val="23"/>
        </w:rPr>
        <w:t>Why we can win</w:t>
      </w:r>
    </w:p>
    <w:p>
      <w:pPr>
        <w:pStyle w:val="ListBullet"/>
        <w:spacing w:after="40" w:line="288" w:lineRule="auto"/>
      </w:pPr>
      <w:r>
        <w:rPr>
          <w:rFonts w:ascii="Calibri" w:hAnsi="Calibri"/>
          <w:b/>
          <w:sz w:val="21"/>
        </w:rPr>
        <w:t>Below the radar:</w:t>
      </w:r>
      <w:r>
        <w:rPr>
          <w:rFonts w:ascii="Calibri" w:hAnsi="Calibri"/>
          <w:sz w:val="21"/>
        </w:rPr>
        <w:t xml:space="preserve"> Visma's footprint validates the M&amp;A thesis but Visma does not chase practices below €5M revenue — that's where 80% of the long tail sits.</w:t>
      </w:r>
    </w:p>
    <w:p>
      <w:pPr>
        <w:pStyle w:val="ListBullet"/>
        <w:spacing w:after="40" w:line="288" w:lineRule="auto"/>
      </w:pPr>
      <w:r>
        <w:rPr>
          <w:rFonts w:ascii="Calibri" w:hAnsi="Calibri"/>
          <w:b/>
          <w:sz w:val="21"/>
        </w:rPr>
        <w:t>Regulatory tailwind:</w:t>
      </w:r>
      <w:r>
        <w:rPr>
          <w:rFonts w:ascii="Calibri" w:hAnsi="Calibri"/>
          <w:sz w:val="21"/>
        </w:rPr>
        <w:t xml:space="preserve"> KSeF Feb 2026 is a forced upgrade cycle. Sellers want out before they have to invest. We are buyers, not vendors.</w:t>
      </w:r>
    </w:p>
    <w:p>
      <w:pPr>
        <w:pStyle w:val="ListBullet"/>
        <w:spacing w:after="40" w:line="288" w:lineRule="auto"/>
      </w:pPr>
      <w:r>
        <w:rPr>
          <w:rFonts w:ascii="Calibri" w:hAnsi="Calibri"/>
          <w:b/>
          <w:sz w:val="21"/>
        </w:rPr>
        <w:t>Competitive whitespace:</w:t>
      </w:r>
      <w:r>
        <w:rPr>
          <w:rFonts w:ascii="Calibri" w:hAnsi="Calibri"/>
          <w:sz w:val="21"/>
        </w:rPr>
        <w:t xml:space="preserve"> No Sage / Wolters Kluwer-style local roll-up exists in our combined geo. Visma is the only credible competitor and they buy at €10M+ EBITDA tickets.</w:t>
      </w:r>
    </w:p>
    <w:p>
      <w:pPr>
        <w:pStyle w:val="ListBullet"/>
        <w:spacing w:after="40" w:line="288" w:lineRule="auto"/>
      </w:pPr>
      <w:r>
        <w:rPr>
          <w:rFonts w:ascii="Calibri" w:hAnsi="Calibri"/>
          <w:b/>
          <w:sz w:val="21"/>
        </w:rPr>
        <w:t>AI is real now:</w:t>
      </w:r>
      <w:r>
        <w:rPr>
          <w:rFonts w:ascii="Calibri" w:hAnsi="Calibri"/>
          <w:sz w:val="21"/>
        </w:rPr>
        <w:t xml:space="preserve"> AI overlay is not 2018 RPA — it is GPT-4o-class OCR + classification that compresses cost-to-serve 30–45% within 12 months of integration.</w:t>
      </w:r>
    </w:p>
    <w:p>
      <w:pPr>
        <w:pStyle w:val="ListBullet"/>
        <w:spacing w:after="40" w:line="288" w:lineRule="auto"/>
      </w:pPr>
      <w:r>
        <w:rPr>
          <w:rFonts w:ascii="Calibri" w:hAnsi="Calibri"/>
          <w:b/>
          <w:sz w:val="21"/>
        </w:rPr>
        <w:t>Structure-friendly:</w:t>
      </w:r>
      <w:r>
        <w:rPr>
          <w:rFonts w:ascii="Calibri" w:hAnsi="Calibri"/>
          <w:sz w:val="21"/>
        </w:rPr>
        <w:t xml:space="preserve"> Cyprus holdco is the natural IP / royalty / tax structuring jurisdiction, with EU passporting; founder is NL-resident with EU mobility.</w:t>
      </w:r>
    </w:p>
    <w:p>
      <w:pPr>
        <w:pBdr>
          <w:bottom w:val="single" w:sz="6" w:space="1" w:color="CCCCCC"/>
        </w:pBdr>
      </w:pPr>
    </w:p>
    <w:p>
      <w:pPr>
        <w:spacing w:before="360" w:after="120"/>
      </w:pPr>
      <w:r>
        <w:rPr>
          <w:rFonts w:ascii="Calibri" w:hAnsi="Calibri"/>
          <w:b/>
          <w:color w:val="1F3A5F"/>
          <w:sz w:val="40"/>
        </w:rPr>
        <w:t>2. Reference Analysis — Sumer.io and Visma</w:t>
      </w:r>
    </w:p>
    <w:p>
      <w:pPr>
        <w:spacing w:before="280" w:after="80"/>
      </w:pPr>
      <w:r>
        <w:rPr>
          <w:rFonts w:ascii="Calibri" w:hAnsi="Calibri"/>
          <w:b/>
          <w:color w:val="1F3A5F"/>
          <w:sz w:val="28"/>
        </w:rPr>
        <w:t>2.1  Sumer.io — the AI-accounting product wedge</w:t>
      </w:r>
    </w:p>
    <w:p>
      <w:pPr>
        <w:spacing w:after="80" w:line="300" w:lineRule="auto"/>
      </w:pPr>
      <w:r>
        <w:rPr>
          <w:rFonts w:ascii="Calibri" w:hAnsi="Calibri"/>
          <w:b w:val="0"/>
          <w:i w:val="0"/>
          <w:color w:val="101010"/>
          <w:sz w:val="21"/>
        </w:rPr>
        <w:t>Sumer.io operates in the Spanish AI-accounting category for self-employed (autónomos) and micro-SMB. The category is well-documented through peer companies (Holded, Anfix, Quipu, Declarando, Taxdown, Tax Down, Billin), all of which target the same buyer with an AI-augmented bookkeeping product and a recurring subscription model.</w:t>
      </w:r>
    </w:p>
    <w:p>
      <w:pPr>
        <w:spacing w:after="80" w:line="300" w:lineRule="auto"/>
      </w:pPr>
      <w:r>
        <w:rPr>
          <w:rFonts w:ascii="Calibri" w:hAnsi="Calibri"/>
          <w:b w:val="0"/>
          <w:i w:val="0"/>
          <w:color w:val="101010"/>
          <w:sz w:val="21"/>
        </w:rPr>
        <w:t>Sumer.io itself is a smaller, more recent entrant and is not publicly indexable at memo-grade detail. We therefore treat it as the category reference, not a fact-checked company profile, and use Holded (acquired by Visma 2021) as the proxy data point. The wedge mechanics are identical:</w:t>
      </w:r>
    </w:p>
    <w:p>
      <w:pPr>
        <w:spacing w:before="200" w:after="40"/>
      </w:pPr>
      <w:r>
        <w:rPr>
          <w:rFonts w:ascii="Calibri" w:hAnsi="Calibri"/>
          <w:b/>
          <w:color w:val="FF6B35"/>
          <w:sz w:val="23"/>
        </w:rPr>
        <w:t>Category USP (Unique Selling Proposition)</w:t>
      </w:r>
    </w:p>
    <w:p>
      <w:pPr>
        <w:pStyle w:val="ListBullet"/>
        <w:spacing w:after="40" w:line="288" w:lineRule="auto"/>
      </w:pPr>
      <w:r>
        <w:rPr>
          <w:rFonts w:ascii="Calibri" w:hAnsi="Calibri"/>
          <w:b/>
          <w:sz w:val="21"/>
        </w:rPr>
        <w:t>What it sells:</w:t>
      </w:r>
      <w:r>
        <w:rPr>
          <w:rFonts w:ascii="Calibri" w:hAnsi="Calibri"/>
          <w:sz w:val="21"/>
        </w:rPr>
        <w:t xml:space="preserve"> Replace a part-time gestor / bookkeeper with a SaaS that ingests invoices via OCR, auto-categorizes, prepares VAT/IRPF returns, and ships them to the tax authority.</w:t>
      </w:r>
    </w:p>
    <w:p>
      <w:pPr>
        <w:pStyle w:val="ListBullet"/>
        <w:spacing w:after="40" w:line="288" w:lineRule="auto"/>
      </w:pPr>
      <w:r>
        <w:rPr>
          <w:rFonts w:ascii="Calibri" w:hAnsi="Calibri"/>
          <w:b/>
          <w:sz w:val="21"/>
        </w:rPr>
        <w:t>Price point:</w:t>
      </w:r>
      <w:r>
        <w:rPr>
          <w:rFonts w:ascii="Calibri" w:hAnsi="Calibri"/>
          <w:sz w:val="21"/>
        </w:rPr>
        <w:t xml:space="preserve"> €20–80 / month per seat (depending on tier), all-in price replacing €60–200 / month of part-time human bookkeeping.</w:t>
      </w:r>
    </w:p>
    <w:p>
      <w:pPr>
        <w:pStyle w:val="ListBullet"/>
        <w:spacing w:after="40" w:line="288" w:lineRule="auto"/>
      </w:pPr>
      <w:r>
        <w:rPr>
          <w:rFonts w:ascii="Calibri" w:hAnsi="Calibri"/>
          <w:b/>
          <w:sz w:val="21"/>
        </w:rPr>
        <w:t>Onboarding:</w:t>
      </w:r>
      <w:r>
        <w:rPr>
          <w:rFonts w:ascii="Calibri" w:hAnsi="Calibri"/>
          <w:sz w:val="21"/>
        </w:rPr>
        <w:t xml:space="preserve"> Time-to-onboard 15 minutes via bank-feed + email-forwarding for invoices.</w:t>
      </w:r>
    </w:p>
    <w:p>
      <w:pPr>
        <w:pStyle w:val="ListBullet"/>
        <w:spacing w:after="40" w:line="288" w:lineRule="auto"/>
      </w:pPr>
      <w:r>
        <w:rPr>
          <w:rFonts w:ascii="Calibri" w:hAnsi="Calibri"/>
          <w:b/>
          <w:sz w:val="21"/>
        </w:rPr>
        <w:t>Automation:</w:t>
      </w:r>
      <w:r>
        <w:rPr>
          <w:rFonts w:ascii="Calibri" w:hAnsi="Calibri"/>
          <w:sz w:val="21"/>
        </w:rPr>
        <w:t xml:space="preserve"> 70–85% claimed automation rate on routine entries, with a human accountant-of-record signing off the return.</w:t>
      </w:r>
    </w:p>
    <w:p>
      <w:pPr>
        <w:spacing w:before="200" w:after="40"/>
      </w:pPr>
      <w:r>
        <w:rPr>
          <w:rFonts w:ascii="Calibri" w:hAnsi="Calibri"/>
          <w:b/>
          <w:color w:val="FF6B35"/>
          <w:sz w:val="23"/>
        </w:rPr>
        <w:t>Why this matters for Ledger</w:t>
      </w:r>
    </w:p>
    <w:p>
      <w:pPr>
        <w:spacing w:after="80" w:line="300" w:lineRule="auto"/>
      </w:pPr>
      <w:r>
        <w:rPr>
          <w:rFonts w:ascii="Calibri" w:hAnsi="Calibri"/>
          <w:b w:val="0"/>
          <w:i w:val="0"/>
          <w:color w:val="101010"/>
          <w:sz w:val="21"/>
        </w:rPr>
        <w:t>We do not need to invent or buy Sumer.io — its category is the playbook for our AI overlay. We acquire the labor base (accounting practices), then deploy a Holded/Sumer-equivalent layer on top. The combined entity captures the recurring SaaS economics AND the existing trusted-advisor relationship that pure SaaS players spend years building. The valuation math: an acquired practice at 4× EBITDA, software-overlaid in 12 months, re-rates to 8–10× EBITDA at exit — a 2.0–2.5× multiple expansion on margin-expanded EBITDA. That is the entire arbitrage.</w:t>
      </w:r>
    </w:p>
    <w:p>
      <w:pPr>
        <w:spacing w:before="280" w:after="80"/>
      </w:pPr>
      <w:r>
        <w:rPr>
          <w:rFonts w:ascii="Calibri" w:hAnsi="Calibri"/>
          <w:b/>
          <w:color w:val="1F3A5F"/>
          <w:sz w:val="28"/>
        </w:rPr>
        <w:t>2.2  Visma — the M&amp;A roll-up reference</w:t>
      </w:r>
    </w:p>
    <w:p>
      <w:pPr>
        <w:spacing w:after="80" w:line="300" w:lineRule="auto"/>
      </w:pPr>
      <w:r>
        <w:rPr>
          <w:rFonts w:ascii="Calibri" w:hAnsi="Calibri"/>
          <w:b w:val="0"/>
          <w:i w:val="0"/>
          <w:color w:val="101010"/>
          <w:sz w:val="21"/>
        </w:rPr>
        <w:t>Visma AS (Norway, owned by Hg Capital, KKR, GIC, ICG, Warburg Pincus) is the dominant European business-software roll-up. Founded 1996 in Oslo, today €2.5B+ revenue, ~15,000 employees, EBITDA margin in the high 20s. Visma has completed &gt;300 acquisitions since 2006 and runs an in-house M&amp;A team of 30+. The Hg dossier on Visma is the single best public blueprint for what we are trying to do.</w:t>
      </w:r>
    </w:p>
    <w:p>
      <w:pPr>
        <w:spacing w:before="200" w:after="40"/>
      </w:pPr>
      <w:r>
        <w:rPr>
          <w:rFonts w:ascii="Calibri" w:hAnsi="Calibri"/>
          <w:b/>
          <w:color w:val="FF6B35"/>
          <w:sz w:val="23"/>
        </w:rPr>
        <w:t>Visma's strategy in five rules</w:t>
      </w:r>
    </w:p>
    <w:p>
      <w:pPr>
        <w:pStyle w:val="ListBullet"/>
        <w:spacing w:after="40" w:line="288" w:lineRule="auto"/>
      </w:pPr>
      <w:r>
        <w:rPr>
          <w:rFonts w:ascii="Calibri" w:hAnsi="Calibri"/>
          <w:b/>
          <w:sz w:val="21"/>
        </w:rPr>
        <w:t>1. Buy profit, not promise:</w:t>
      </w:r>
      <w:r>
        <w:rPr>
          <w:rFonts w:ascii="Calibri" w:hAnsi="Calibri"/>
          <w:sz w:val="21"/>
        </w:rPr>
        <w:t xml:space="preserve"> Acquire profitable SMB software companies in adjacent verticals (accounting, payroll, HR, ERP-lite, public sector) at 8–12× EBITDA. Never overpay for growth.</w:t>
      </w:r>
    </w:p>
    <w:p>
      <w:pPr>
        <w:pStyle w:val="ListBullet"/>
        <w:spacing w:after="40" w:line="288" w:lineRule="auto"/>
      </w:pPr>
      <w:r>
        <w:rPr>
          <w:rFonts w:ascii="Calibri" w:hAnsi="Calibri"/>
          <w:b/>
          <w:sz w:val="21"/>
        </w:rPr>
        <w:t>2. Light-touch integration:</w:t>
      </w:r>
      <w:r>
        <w:rPr>
          <w:rFonts w:ascii="Calibri" w:hAnsi="Calibri"/>
          <w:sz w:val="21"/>
        </w:rPr>
        <w:t xml:space="preserve"> Leave acquired companies operating under their own brand for 2–3 years; integrate the back-office (finance, HR, legal, IT-shared-services) on Day 30, integrate sales motion when ready.</w:t>
      </w:r>
    </w:p>
    <w:p>
      <w:pPr>
        <w:pStyle w:val="ListBullet"/>
        <w:spacing w:after="40" w:line="288" w:lineRule="auto"/>
      </w:pPr>
      <w:r>
        <w:rPr>
          <w:rFonts w:ascii="Calibri" w:hAnsi="Calibri"/>
          <w:b/>
          <w:sz w:val="21"/>
        </w:rPr>
        <w:t>3. Platform consolidation:</w:t>
      </w:r>
      <w:r>
        <w:rPr>
          <w:rFonts w:ascii="Calibri" w:hAnsi="Calibri"/>
          <w:sz w:val="21"/>
        </w:rPr>
        <w:t xml:space="preserve"> Move the customer base onto a Visma cloud platform over 24–36 months; this is where the multiple re-rates from 8× (services) to 14–18× (recurring SaaS).</w:t>
      </w:r>
    </w:p>
    <w:p>
      <w:pPr>
        <w:pStyle w:val="ListBullet"/>
        <w:spacing w:after="40" w:line="288" w:lineRule="auto"/>
      </w:pPr>
      <w:r>
        <w:rPr>
          <w:rFonts w:ascii="Calibri" w:hAnsi="Calibri"/>
          <w:b/>
          <w:sz w:val="21"/>
        </w:rPr>
        <w:t>4. Pipeline is permanent:</w:t>
      </w:r>
      <w:r>
        <w:rPr>
          <w:rFonts w:ascii="Calibri" w:hAnsi="Calibri"/>
          <w:sz w:val="21"/>
        </w:rPr>
        <w:t xml:space="preserve"> M&amp;A is a function, not an event. Visma runs a constant pipeline of 200+ live targets, 30–40 closes per year.</w:t>
      </w:r>
    </w:p>
    <w:p>
      <w:pPr>
        <w:pStyle w:val="ListBullet"/>
        <w:spacing w:after="40" w:line="288" w:lineRule="auto"/>
      </w:pPr>
      <w:r>
        <w:rPr>
          <w:rFonts w:ascii="Calibri" w:hAnsi="Calibri"/>
          <w:b/>
          <w:sz w:val="21"/>
        </w:rPr>
        <w:t>5. Cheap leverage:</w:t>
      </w:r>
      <w:r>
        <w:rPr>
          <w:rFonts w:ascii="Calibri" w:hAnsi="Calibri"/>
          <w:sz w:val="21"/>
        </w:rPr>
        <w:t xml:space="preserve"> Senior debt 4–5× EBITDA (term loan B + revolver) plus PE equity rolls — total leverage 50–60% of EV at deal close. This is where the equity IRR comes from.</w:t>
      </w:r>
    </w:p>
    <w:p>
      <w:pPr>
        <w:spacing w:before="200" w:after="40"/>
      </w:pPr>
      <w:r>
        <w:rPr>
          <w:rFonts w:ascii="Calibri" w:hAnsi="Calibri"/>
          <w:b/>
          <w:color w:val="FF6B35"/>
          <w:sz w:val="23"/>
        </w:rPr>
        <w:t>Visma's recent moves in our geo</w:t>
      </w:r>
    </w:p>
    <w:p>
      <w:pPr>
        <w:pStyle w:val="ListBullet"/>
        <w:spacing w:after="40" w:line="288" w:lineRule="auto"/>
      </w:pPr>
      <w:r>
        <w:rPr>
          <w:rFonts w:ascii="Calibri" w:hAnsi="Calibri"/>
          <w:b/>
          <w:sz w:val="21"/>
        </w:rPr>
        <w:t>Spain:</w:t>
      </w:r>
      <w:r>
        <w:rPr>
          <w:rFonts w:ascii="Calibri" w:hAnsi="Calibri"/>
          <w:sz w:val="21"/>
        </w:rPr>
        <w:t xml:space="preserve"> Holded (Spain) — 2021, accounting+ERP SaaS for autonomos / SMB; valuation rumored ~€120M at the time, ~€8M ARR.</w:t>
      </w:r>
    </w:p>
    <w:p>
      <w:pPr>
        <w:pStyle w:val="ListBullet"/>
        <w:spacing w:after="40" w:line="288" w:lineRule="auto"/>
      </w:pPr>
      <w:r>
        <w:rPr>
          <w:rFonts w:ascii="Calibri" w:hAnsi="Calibri"/>
          <w:b/>
          <w:sz w:val="21"/>
        </w:rPr>
        <w:t>Italy:</w:t>
      </w:r>
      <w:r>
        <w:rPr>
          <w:rFonts w:ascii="Calibri" w:hAnsi="Calibri"/>
          <w:sz w:val="21"/>
        </w:rPr>
        <w:t xml:space="preserve"> Fiscozen (Italy) — 2024, AI-assisted tax returns for self-employed; multi-step acquisition, terms undisclosed.</w:t>
      </w:r>
    </w:p>
    <w:p>
      <w:pPr>
        <w:pStyle w:val="ListBullet"/>
        <w:spacing w:after="40" w:line="288" w:lineRule="auto"/>
      </w:pPr>
      <w:r>
        <w:rPr>
          <w:rFonts w:ascii="Calibri" w:hAnsi="Calibri"/>
          <w:b/>
          <w:sz w:val="21"/>
        </w:rPr>
        <w:t>Poland:</w:t>
      </w:r>
      <w:r>
        <w:rPr>
          <w:rFonts w:ascii="Calibri" w:hAnsi="Calibri"/>
          <w:sz w:val="21"/>
        </w:rPr>
        <w:t xml:space="preserve"> Storksoft and others — selective accounting / e-invoicing integrations.</w:t>
      </w:r>
    </w:p>
    <w:p>
      <w:pPr>
        <w:pStyle w:val="ListBullet"/>
        <w:spacing w:after="40" w:line="288" w:lineRule="auto"/>
      </w:pPr>
      <w:r>
        <w:rPr>
          <w:rFonts w:ascii="Calibri" w:hAnsi="Calibri"/>
          <w:b/>
          <w:sz w:val="21"/>
        </w:rPr>
        <w:t>Cyprus:</w:t>
      </w:r>
      <w:r>
        <w:rPr>
          <w:rFonts w:ascii="Calibri" w:hAnsi="Calibri"/>
          <w:sz w:val="21"/>
        </w:rPr>
        <w:t xml:space="preserve"> No Visma presence at memo date; advantage = first-mover for Ledger.</w:t>
      </w:r>
    </w:p>
    <w:p>
      <w:pPr>
        <w:spacing w:before="200" w:after="40"/>
      </w:pPr>
      <w:r>
        <w:rPr>
          <w:rFonts w:ascii="Calibri" w:hAnsi="Calibri"/>
          <w:b/>
          <w:color w:val="FF6B35"/>
          <w:sz w:val="23"/>
        </w:rPr>
        <w:t>What this means for us</w:t>
      </w:r>
    </w:p>
    <w:p>
      <w:pPr>
        <w:spacing w:after="80" w:line="300" w:lineRule="auto"/>
      </w:pPr>
      <w:r>
        <w:rPr>
          <w:rFonts w:ascii="Calibri" w:hAnsi="Calibri"/>
          <w:b w:val="0"/>
          <w:i w:val="0"/>
          <w:color w:val="101010"/>
          <w:sz w:val="21"/>
        </w:rPr>
        <w:t>Visma is two things at once: our exit buyer and our competitor. Both are good. As exit buyer, they pay 10–14× EBITDA for cloud-integrated assets, which is our entire valuation thesis. As competitor, they do not bid for assets below €5M revenue / €1M EBITDA — that is precisely our sweet spot. We pick targets in their dead zone, build to their size threshold, then sell to them.</w:t>
      </w:r>
    </w:p>
    <w:p>
      <w:pPr>
        <w:spacing w:before="200" w:after="40"/>
      </w:pPr>
      <w:r>
        <w:rPr>
          <w:rFonts w:ascii="Calibri" w:hAnsi="Calibri"/>
          <w:b/>
          <w:color w:val="FF6B35"/>
          <w:sz w:val="23"/>
        </w:rPr>
        <w:t>Visma vs. Ledger — strategic positioning</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1984"/>
            <w:shd w:val="clear" w:color="auto" w:fill="1F3A5F"/>
            <w:vAlign w:val="center"/>
          </w:tcPr>
          <w:p>
            <w:r/>
            <w:r>
              <w:rPr>
                <w:rFonts w:ascii="Calibri" w:hAnsi="Calibri"/>
                <w:b/>
                <w:color w:val="FFFFFF"/>
                <w:sz w:val="20"/>
              </w:rPr>
              <w:t>Dimension</w:t>
            </w:r>
          </w:p>
        </w:tc>
        <w:tc>
          <w:tcPr>
            <w:tcW w:type="dxa" w:w="3402"/>
            <w:shd w:val="clear" w:color="auto" w:fill="1F3A5F"/>
            <w:vAlign w:val="center"/>
          </w:tcPr>
          <w:p>
            <w:r/>
            <w:r>
              <w:rPr>
                <w:rFonts w:ascii="Calibri" w:hAnsi="Calibri"/>
                <w:b/>
                <w:color w:val="FFFFFF"/>
                <w:sz w:val="20"/>
              </w:rPr>
              <w:t>Visma</w:t>
            </w:r>
          </w:p>
        </w:tc>
        <w:tc>
          <w:tcPr>
            <w:tcW w:type="dxa" w:w="3402"/>
            <w:shd w:val="clear" w:color="auto" w:fill="1F3A5F"/>
            <w:vAlign w:val="center"/>
          </w:tcPr>
          <w:p>
            <w:r/>
            <w:r>
              <w:rPr>
                <w:rFonts w:ascii="Calibri" w:hAnsi="Calibri"/>
                <w:b/>
                <w:color w:val="FFFFFF"/>
                <w:sz w:val="20"/>
              </w:rPr>
              <w:t>Ledger (us)</w:t>
            </w:r>
          </w:p>
        </w:tc>
      </w:tr>
      <w:tr>
        <w:tc>
          <w:tcPr>
            <w:tcW w:type="dxa" w:w="1984"/>
            <w:vAlign w:val="center"/>
          </w:tcPr>
          <w:p>
            <w:r/>
            <w:r>
              <w:rPr>
                <w:rFonts w:ascii="Calibri" w:hAnsi="Calibri"/>
                <w:sz w:val="19"/>
              </w:rPr>
              <w:t>Target size</w:t>
            </w:r>
          </w:p>
        </w:tc>
        <w:tc>
          <w:tcPr>
            <w:tcW w:type="dxa" w:w="3402"/>
            <w:vAlign w:val="center"/>
          </w:tcPr>
          <w:p>
            <w:r/>
            <w:r>
              <w:rPr>
                <w:rFonts w:ascii="Calibri" w:hAnsi="Calibri"/>
                <w:sz w:val="19"/>
              </w:rPr>
              <w:t>€5M+ revenue, €1M+ EBITDA</w:t>
            </w:r>
          </w:p>
        </w:tc>
        <w:tc>
          <w:tcPr>
            <w:tcW w:type="dxa" w:w="3402"/>
            <w:vAlign w:val="center"/>
          </w:tcPr>
          <w:p>
            <w:r/>
            <w:r>
              <w:rPr>
                <w:rFonts w:ascii="Calibri" w:hAnsi="Calibri"/>
                <w:sz w:val="19"/>
              </w:rPr>
              <w:t>€1–5M revenue, €0.2–1M EBITDA</w:t>
            </w:r>
          </w:p>
        </w:tc>
      </w:tr>
      <w:tr>
        <w:tc>
          <w:tcPr>
            <w:tcW w:type="dxa" w:w="1984"/>
            <w:shd w:val="clear" w:color="auto" w:fill="F4F6F9"/>
            <w:vAlign w:val="center"/>
          </w:tcPr>
          <w:p>
            <w:r/>
            <w:r>
              <w:rPr>
                <w:rFonts w:ascii="Calibri" w:hAnsi="Calibri"/>
                <w:sz w:val="19"/>
              </w:rPr>
              <w:t>Entry multiple</w:t>
            </w:r>
          </w:p>
        </w:tc>
        <w:tc>
          <w:tcPr>
            <w:tcW w:type="dxa" w:w="3402"/>
            <w:shd w:val="clear" w:color="auto" w:fill="F4F6F9"/>
            <w:vAlign w:val="center"/>
          </w:tcPr>
          <w:p>
            <w:r/>
            <w:r>
              <w:rPr>
                <w:rFonts w:ascii="Calibri" w:hAnsi="Calibri"/>
                <w:sz w:val="19"/>
              </w:rPr>
              <w:t>8–12× EBITDA</w:t>
            </w:r>
          </w:p>
        </w:tc>
        <w:tc>
          <w:tcPr>
            <w:tcW w:type="dxa" w:w="3402"/>
            <w:shd w:val="clear" w:color="auto" w:fill="F4F6F9"/>
            <w:vAlign w:val="center"/>
          </w:tcPr>
          <w:p>
            <w:r/>
            <w:r>
              <w:rPr>
                <w:rFonts w:ascii="Calibri" w:hAnsi="Calibri"/>
                <w:sz w:val="19"/>
              </w:rPr>
              <w:t>3.5–4.5× EBITDA</w:t>
            </w:r>
          </w:p>
        </w:tc>
      </w:tr>
      <w:tr>
        <w:tc>
          <w:tcPr>
            <w:tcW w:type="dxa" w:w="1984"/>
            <w:vAlign w:val="center"/>
          </w:tcPr>
          <w:p>
            <w:r/>
            <w:r>
              <w:rPr>
                <w:rFonts w:ascii="Calibri" w:hAnsi="Calibri"/>
                <w:sz w:val="19"/>
              </w:rPr>
              <w:t>Exit multiple</w:t>
            </w:r>
          </w:p>
        </w:tc>
        <w:tc>
          <w:tcPr>
            <w:tcW w:type="dxa" w:w="3402"/>
            <w:vAlign w:val="center"/>
          </w:tcPr>
          <w:p>
            <w:r/>
            <w:r>
              <w:rPr>
                <w:rFonts w:ascii="Calibri" w:hAnsi="Calibri"/>
                <w:sz w:val="19"/>
              </w:rPr>
              <w:t>14–18× EBITDA (re-rate)</w:t>
            </w:r>
          </w:p>
        </w:tc>
        <w:tc>
          <w:tcPr>
            <w:tcW w:type="dxa" w:w="3402"/>
            <w:vAlign w:val="center"/>
          </w:tcPr>
          <w:p>
            <w:r/>
            <w:r>
              <w:rPr>
                <w:rFonts w:ascii="Calibri" w:hAnsi="Calibri"/>
                <w:sz w:val="19"/>
              </w:rPr>
              <w:t>9–11× EBITDA (sale to Visma or larger PE)</w:t>
            </w:r>
          </w:p>
        </w:tc>
      </w:tr>
      <w:tr>
        <w:tc>
          <w:tcPr>
            <w:tcW w:type="dxa" w:w="1984"/>
            <w:shd w:val="clear" w:color="auto" w:fill="F4F6F9"/>
            <w:vAlign w:val="center"/>
          </w:tcPr>
          <w:p>
            <w:r/>
            <w:r>
              <w:rPr>
                <w:rFonts w:ascii="Calibri" w:hAnsi="Calibri"/>
                <w:sz w:val="19"/>
              </w:rPr>
              <w:t>M&amp;A volume</w:t>
            </w:r>
          </w:p>
        </w:tc>
        <w:tc>
          <w:tcPr>
            <w:tcW w:type="dxa" w:w="3402"/>
            <w:shd w:val="clear" w:color="auto" w:fill="F4F6F9"/>
            <w:vAlign w:val="center"/>
          </w:tcPr>
          <w:p>
            <w:r/>
            <w:r>
              <w:rPr>
                <w:rFonts w:ascii="Calibri" w:hAnsi="Calibri"/>
                <w:sz w:val="19"/>
              </w:rPr>
              <w:t>30–40 deals/yr globally</w:t>
            </w:r>
          </w:p>
        </w:tc>
        <w:tc>
          <w:tcPr>
            <w:tcW w:type="dxa" w:w="3402"/>
            <w:shd w:val="clear" w:color="auto" w:fill="F4F6F9"/>
            <w:vAlign w:val="center"/>
          </w:tcPr>
          <w:p>
            <w:r/>
            <w:r>
              <w:rPr>
                <w:rFonts w:ascii="Calibri" w:hAnsi="Calibri"/>
                <w:sz w:val="19"/>
              </w:rPr>
              <w:t>3–5 deals/yr concentrated PL/IT/CY</w:t>
            </w:r>
          </w:p>
        </w:tc>
      </w:tr>
      <w:tr>
        <w:tc>
          <w:tcPr>
            <w:tcW w:type="dxa" w:w="1984"/>
            <w:vAlign w:val="center"/>
          </w:tcPr>
          <w:p>
            <w:r/>
            <w:r>
              <w:rPr>
                <w:rFonts w:ascii="Calibri" w:hAnsi="Calibri"/>
                <w:sz w:val="19"/>
              </w:rPr>
              <w:t>Integration model</w:t>
            </w:r>
          </w:p>
        </w:tc>
        <w:tc>
          <w:tcPr>
            <w:tcW w:type="dxa" w:w="3402"/>
            <w:vAlign w:val="center"/>
          </w:tcPr>
          <w:p>
            <w:r/>
            <w:r>
              <w:rPr>
                <w:rFonts w:ascii="Calibri" w:hAnsi="Calibri"/>
                <w:sz w:val="19"/>
              </w:rPr>
              <w:t>Multi-year platform conv.</w:t>
            </w:r>
          </w:p>
        </w:tc>
        <w:tc>
          <w:tcPr>
            <w:tcW w:type="dxa" w:w="3402"/>
            <w:vAlign w:val="center"/>
          </w:tcPr>
          <w:p>
            <w:r/>
            <w:r>
              <w:rPr>
                <w:rFonts w:ascii="Calibri" w:hAnsi="Calibri"/>
                <w:sz w:val="19"/>
              </w:rPr>
              <w:t>Day-30 AI overlay, Day-180 platform</w:t>
            </w:r>
          </w:p>
        </w:tc>
      </w:tr>
      <w:tr>
        <w:tc>
          <w:tcPr>
            <w:tcW w:type="dxa" w:w="1984"/>
            <w:shd w:val="clear" w:color="auto" w:fill="F4F6F9"/>
            <w:vAlign w:val="center"/>
          </w:tcPr>
          <w:p>
            <w:r/>
            <w:r>
              <w:rPr>
                <w:rFonts w:ascii="Calibri" w:hAnsi="Calibri"/>
                <w:sz w:val="19"/>
              </w:rPr>
              <w:t>Capital</w:t>
            </w:r>
          </w:p>
        </w:tc>
        <w:tc>
          <w:tcPr>
            <w:tcW w:type="dxa" w:w="3402"/>
            <w:shd w:val="clear" w:color="auto" w:fill="F4F6F9"/>
            <w:vAlign w:val="center"/>
          </w:tcPr>
          <w:p>
            <w:r/>
            <w:r>
              <w:rPr>
                <w:rFonts w:ascii="Calibri" w:hAnsi="Calibri"/>
                <w:sz w:val="19"/>
              </w:rPr>
              <w:t>€20B+ EV, PE-backed</w:t>
            </w:r>
          </w:p>
        </w:tc>
        <w:tc>
          <w:tcPr>
            <w:tcW w:type="dxa" w:w="3402"/>
            <w:shd w:val="clear" w:color="auto" w:fill="F4F6F9"/>
            <w:vAlign w:val="center"/>
          </w:tcPr>
          <w:p>
            <w:r/>
            <w:r>
              <w:rPr>
                <w:rFonts w:ascii="Calibri" w:hAnsi="Calibri"/>
                <w:sz w:val="19"/>
              </w:rPr>
              <w:t>€7M raised through Series A</w:t>
            </w:r>
          </w:p>
        </w:tc>
      </w:tr>
      <w:tr>
        <w:tc>
          <w:tcPr>
            <w:tcW w:type="dxa" w:w="1984"/>
            <w:vAlign w:val="center"/>
          </w:tcPr>
          <w:p>
            <w:r/>
            <w:r>
              <w:rPr>
                <w:rFonts w:ascii="Calibri" w:hAnsi="Calibri"/>
                <w:sz w:val="19"/>
              </w:rPr>
              <w:t>Verticals</w:t>
            </w:r>
          </w:p>
        </w:tc>
        <w:tc>
          <w:tcPr>
            <w:tcW w:type="dxa" w:w="3402"/>
            <w:vAlign w:val="center"/>
          </w:tcPr>
          <w:p>
            <w:r/>
            <w:r>
              <w:rPr>
                <w:rFonts w:ascii="Calibri" w:hAnsi="Calibri"/>
                <w:sz w:val="19"/>
              </w:rPr>
              <w:t>Accounting, payroll, HR, public</w:t>
            </w:r>
          </w:p>
        </w:tc>
        <w:tc>
          <w:tcPr>
            <w:tcW w:type="dxa" w:w="3402"/>
            <w:vAlign w:val="center"/>
          </w:tcPr>
          <w:p>
            <w:r/>
            <w:r>
              <w:rPr>
                <w:rFonts w:ascii="Calibri" w:hAnsi="Calibri"/>
                <w:sz w:val="19"/>
              </w:rPr>
              <w:t>Accounting only (focus)</w:t>
            </w:r>
          </w:p>
        </w:tc>
      </w:tr>
      <w:tr>
        <w:tc>
          <w:tcPr>
            <w:tcW w:type="dxa" w:w="1984"/>
            <w:shd w:val="clear" w:color="auto" w:fill="F4F6F9"/>
            <w:vAlign w:val="center"/>
          </w:tcPr>
          <w:p>
            <w:r/>
            <w:r>
              <w:rPr>
                <w:rFonts w:ascii="Calibri" w:hAnsi="Calibri"/>
                <w:sz w:val="19"/>
              </w:rPr>
              <w:t>Geography</w:t>
            </w:r>
          </w:p>
        </w:tc>
        <w:tc>
          <w:tcPr>
            <w:tcW w:type="dxa" w:w="3402"/>
            <w:shd w:val="clear" w:color="auto" w:fill="F4F6F9"/>
            <w:vAlign w:val="center"/>
          </w:tcPr>
          <w:p>
            <w:r/>
            <w:r>
              <w:rPr>
                <w:rFonts w:ascii="Calibri" w:hAnsi="Calibri"/>
                <w:sz w:val="19"/>
              </w:rPr>
              <w:t>Nordic + DACH + Iberia + Italy</w:t>
            </w:r>
          </w:p>
        </w:tc>
        <w:tc>
          <w:tcPr>
            <w:tcW w:type="dxa" w:w="3402"/>
            <w:shd w:val="clear" w:color="auto" w:fill="F4F6F9"/>
            <w:vAlign w:val="center"/>
          </w:tcPr>
          <w:p>
            <w:r/>
            <w:r>
              <w:rPr>
                <w:rFonts w:ascii="Calibri" w:hAnsi="Calibri"/>
                <w:sz w:val="19"/>
              </w:rPr>
              <w:t>Poland, Italy, Cyprus</w:t>
            </w:r>
          </w:p>
        </w:tc>
      </w:tr>
    </w:tbl>
    <w:p>
      <w:r>
        <w:br w:type="page"/>
      </w:r>
    </w:p>
    <w:p>
      <w:pPr>
        <w:spacing w:before="360" w:after="120"/>
      </w:pPr>
      <w:r>
        <w:rPr>
          <w:rFonts w:ascii="Calibri" w:hAnsi="Calibri"/>
          <w:b/>
          <w:color w:val="1F3A5F"/>
          <w:sz w:val="40"/>
        </w:rPr>
        <w:t>3. Strategic Thesis</w:t>
      </w:r>
    </w:p>
    <w:p>
      <w:pPr>
        <w:spacing w:before="280" w:after="80"/>
      </w:pPr>
      <w:r>
        <w:rPr>
          <w:rFonts w:ascii="Calibri" w:hAnsi="Calibri"/>
          <w:b/>
          <w:color w:val="1F3A5F"/>
          <w:sz w:val="28"/>
        </w:rPr>
        <w:t>3.1  The math: why a roll-up beats organic growth</w:t>
      </w:r>
    </w:p>
    <w:p>
      <w:pPr>
        <w:spacing w:after="80" w:line="300" w:lineRule="auto"/>
      </w:pPr>
      <w:r>
        <w:rPr>
          <w:rFonts w:ascii="Calibri" w:hAnsi="Calibri"/>
          <w:b w:val="0"/>
          <w:i w:val="0"/>
          <w:color w:val="101010"/>
          <w:sz w:val="21"/>
        </w:rPr>
        <w:t>An organic AI-accounting SaaS in our geographies needs €4–6M of S&amp;M spend and 30+ months to reach €5M ARR. The same €5M of recurring revenue can be acquired in 18 months by buying 3–4 practices at €1.5–2M revenue each, at a blended multiple of 4× EBITDA on a 20% margin. Math:</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949"/>
        <w:gridCol w:w="1949"/>
        <w:gridCol w:w="1949"/>
        <w:gridCol w:w="1949"/>
        <w:gridCol w:w="1949"/>
      </w:tblGrid>
      <w:tr>
        <w:tc>
          <w:tcPr>
            <w:tcW w:type="dxa" w:w="1984"/>
            <w:shd w:val="clear" w:color="auto" w:fill="1F3A5F"/>
            <w:vAlign w:val="center"/>
          </w:tcPr>
          <w:p>
            <w:r/>
            <w:r>
              <w:rPr>
                <w:rFonts w:ascii="Calibri" w:hAnsi="Calibri"/>
                <w:b/>
                <w:color w:val="FFFFFF"/>
                <w:sz w:val="20"/>
              </w:rPr>
              <w:t>Path</w:t>
            </w:r>
          </w:p>
        </w:tc>
        <w:tc>
          <w:tcPr>
            <w:tcW w:type="dxa" w:w="1984"/>
            <w:shd w:val="clear" w:color="auto" w:fill="1F3A5F"/>
            <w:vAlign w:val="center"/>
          </w:tcPr>
          <w:p>
            <w:r/>
            <w:r>
              <w:rPr>
                <w:rFonts w:ascii="Calibri" w:hAnsi="Calibri"/>
                <w:b/>
                <w:color w:val="FFFFFF"/>
                <w:sz w:val="20"/>
              </w:rPr>
              <w:t>Time to €5M rev</w:t>
            </w:r>
          </w:p>
        </w:tc>
        <w:tc>
          <w:tcPr>
            <w:tcW w:type="dxa" w:w="1984"/>
            <w:shd w:val="clear" w:color="auto" w:fill="1F3A5F"/>
            <w:vAlign w:val="center"/>
          </w:tcPr>
          <w:p>
            <w:r/>
            <w:r>
              <w:rPr>
                <w:rFonts w:ascii="Calibri" w:hAnsi="Calibri"/>
                <w:b/>
                <w:color w:val="FFFFFF"/>
                <w:sz w:val="20"/>
              </w:rPr>
              <w:t>Cumulative cash needed</w:t>
            </w:r>
          </w:p>
        </w:tc>
        <w:tc>
          <w:tcPr>
            <w:tcW w:type="dxa" w:w="1701"/>
            <w:shd w:val="clear" w:color="auto" w:fill="1F3A5F"/>
            <w:vAlign w:val="center"/>
          </w:tcPr>
          <w:p>
            <w:r/>
            <w:r>
              <w:rPr>
                <w:rFonts w:ascii="Calibri" w:hAnsi="Calibri"/>
                <w:b/>
                <w:color w:val="FFFFFF"/>
                <w:sz w:val="20"/>
              </w:rPr>
              <w:t>Year-2 EBITDA</w:t>
            </w:r>
          </w:p>
        </w:tc>
        <w:tc>
          <w:tcPr>
            <w:tcW w:type="dxa" w:w="2268"/>
            <w:shd w:val="clear" w:color="auto" w:fill="1F3A5F"/>
            <w:vAlign w:val="center"/>
          </w:tcPr>
          <w:p>
            <w:r/>
            <w:r>
              <w:rPr>
                <w:rFonts w:ascii="Calibri" w:hAnsi="Calibri"/>
                <w:b/>
                <w:color w:val="FFFFFF"/>
                <w:sz w:val="20"/>
              </w:rPr>
              <w:t>Year-2 EV @ exit mult.</w:t>
            </w:r>
          </w:p>
        </w:tc>
      </w:tr>
      <w:tr>
        <w:tc>
          <w:tcPr>
            <w:tcW w:type="dxa" w:w="1984"/>
            <w:vAlign w:val="center"/>
          </w:tcPr>
          <w:p>
            <w:r/>
            <w:r>
              <w:rPr>
                <w:rFonts w:ascii="Calibri" w:hAnsi="Calibri"/>
                <w:sz w:val="19"/>
              </w:rPr>
              <w:t>Organic SaaS</w:t>
            </w:r>
          </w:p>
        </w:tc>
        <w:tc>
          <w:tcPr>
            <w:tcW w:type="dxa" w:w="1984"/>
            <w:vAlign w:val="center"/>
          </w:tcPr>
          <w:p>
            <w:r/>
            <w:r>
              <w:rPr>
                <w:rFonts w:ascii="Calibri" w:hAnsi="Calibri"/>
                <w:sz w:val="19"/>
              </w:rPr>
              <w:t>30–36 months</w:t>
            </w:r>
          </w:p>
        </w:tc>
        <w:tc>
          <w:tcPr>
            <w:tcW w:type="dxa" w:w="1984"/>
            <w:vAlign w:val="center"/>
          </w:tcPr>
          <w:p>
            <w:r/>
            <w:r>
              <w:rPr>
                <w:rFonts w:ascii="Calibri" w:hAnsi="Calibri"/>
                <w:sz w:val="19"/>
              </w:rPr>
              <w:t>€5.5M S&amp;M + €1M G&amp;A</w:t>
            </w:r>
          </w:p>
        </w:tc>
        <w:tc>
          <w:tcPr>
            <w:tcW w:type="dxa" w:w="1701"/>
            <w:vAlign w:val="center"/>
          </w:tcPr>
          <w:p>
            <w:r/>
            <w:r>
              <w:rPr>
                <w:rFonts w:ascii="Calibri" w:hAnsi="Calibri"/>
                <w:sz w:val="19"/>
              </w:rPr>
              <w:t>−€1.5M (still investing)</w:t>
            </w:r>
          </w:p>
        </w:tc>
        <w:tc>
          <w:tcPr>
            <w:tcW w:type="dxa" w:w="2268"/>
            <w:vAlign w:val="center"/>
          </w:tcPr>
          <w:p>
            <w:r/>
            <w:r>
              <w:rPr>
                <w:rFonts w:ascii="Calibri" w:hAnsi="Calibri"/>
                <w:sz w:val="19"/>
              </w:rPr>
              <w:t>€20M (5× ARR multiple)</w:t>
            </w:r>
          </w:p>
        </w:tc>
      </w:tr>
      <w:tr>
        <w:tc>
          <w:tcPr>
            <w:tcW w:type="dxa" w:w="1984"/>
            <w:shd w:val="clear" w:color="auto" w:fill="F4F6F9"/>
            <w:vAlign w:val="center"/>
          </w:tcPr>
          <w:p>
            <w:r/>
            <w:r>
              <w:rPr>
                <w:rFonts w:ascii="Calibri" w:hAnsi="Calibri"/>
                <w:sz w:val="19"/>
              </w:rPr>
              <w:t>Ledger roll-up</w:t>
            </w:r>
          </w:p>
        </w:tc>
        <w:tc>
          <w:tcPr>
            <w:tcW w:type="dxa" w:w="1984"/>
            <w:shd w:val="clear" w:color="auto" w:fill="F4F6F9"/>
            <w:vAlign w:val="center"/>
          </w:tcPr>
          <w:p>
            <w:r/>
            <w:r>
              <w:rPr>
                <w:rFonts w:ascii="Calibri" w:hAnsi="Calibri"/>
                <w:sz w:val="19"/>
              </w:rPr>
              <w:t>14–18 months</w:t>
            </w:r>
          </w:p>
        </w:tc>
        <w:tc>
          <w:tcPr>
            <w:tcW w:type="dxa" w:w="1984"/>
            <w:shd w:val="clear" w:color="auto" w:fill="F4F6F9"/>
            <w:vAlign w:val="center"/>
          </w:tcPr>
          <w:p>
            <w:r/>
            <w:r>
              <w:rPr>
                <w:rFonts w:ascii="Calibri" w:hAnsi="Calibri"/>
                <w:sz w:val="19"/>
              </w:rPr>
              <w:t>€5.5M M&amp;A + €0.7M G&amp;A</w:t>
            </w:r>
          </w:p>
        </w:tc>
        <w:tc>
          <w:tcPr>
            <w:tcW w:type="dxa" w:w="1701"/>
            <w:shd w:val="clear" w:color="auto" w:fill="F4F6F9"/>
            <w:vAlign w:val="center"/>
          </w:tcPr>
          <w:p>
            <w:r/>
            <w:r>
              <w:rPr>
                <w:rFonts w:ascii="Calibri" w:hAnsi="Calibri"/>
                <w:sz w:val="19"/>
              </w:rPr>
              <w:t>€1.0M (already profitable)</w:t>
            </w:r>
          </w:p>
        </w:tc>
        <w:tc>
          <w:tcPr>
            <w:tcW w:type="dxa" w:w="2268"/>
            <w:shd w:val="clear" w:color="auto" w:fill="F4F6F9"/>
            <w:vAlign w:val="center"/>
          </w:tcPr>
          <w:p>
            <w:r/>
            <w:r>
              <w:rPr>
                <w:rFonts w:ascii="Calibri" w:hAnsi="Calibri"/>
                <w:sz w:val="19"/>
              </w:rPr>
              <w:t>€9–11M (10× EBITDA)</w:t>
            </w:r>
          </w:p>
        </w:tc>
      </w:tr>
      <w:tr>
        <w:tc>
          <w:tcPr>
            <w:tcW w:type="dxa" w:w="1984"/>
            <w:vAlign w:val="center"/>
          </w:tcPr>
          <w:p>
            <w:r/>
            <w:r>
              <w:rPr>
                <w:rFonts w:ascii="Calibri" w:hAnsi="Calibri"/>
                <w:sz w:val="19"/>
              </w:rPr>
              <w:t>Ledger + AI overlay</w:t>
            </w:r>
          </w:p>
        </w:tc>
        <w:tc>
          <w:tcPr>
            <w:tcW w:type="dxa" w:w="1984"/>
            <w:vAlign w:val="center"/>
          </w:tcPr>
          <w:p>
            <w:r/>
            <w:r>
              <w:rPr>
                <w:rFonts w:ascii="Calibri" w:hAnsi="Calibri"/>
                <w:sz w:val="19"/>
              </w:rPr>
              <w:t>14–18 months + 12 month integration</w:t>
            </w:r>
          </w:p>
        </w:tc>
        <w:tc>
          <w:tcPr>
            <w:tcW w:type="dxa" w:w="1984"/>
            <w:vAlign w:val="center"/>
          </w:tcPr>
          <w:p>
            <w:r/>
            <w:r>
              <w:rPr>
                <w:rFonts w:ascii="Calibri" w:hAnsi="Calibri"/>
                <w:sz w:val="19"/>
              </w:rPr>
              <w:t>€6.2M M&amp;A + AI capex</w:t>
            </w:r>
          </w:p>
        </w:tc>
        <w:tc>
          <w:tcPr>
            <w:tcW w:type="dxa" w:w="1701"/>
            <w:vAlign w:val="center"/>
          </w:tcPr>
          <w:p>
            <w:r/>
            <w:r>
              <w:rPr>
                <w:rFonts w:ascii="Calibri" w:hAnsi="Calibri"/>
                <w:sz w:val="19"/>
              </w:rPr>
              <w:t>€1.6M (margin expansion)</w:t>
            </w:r>
          </w:p>
        </w:tc>
        <w:tc>
          <w:tcPr>
            <w:tcW w:type="dxa" w:w="2268"/>
            <w:vAlign w:val="center"/>
          </w:tcPr>
          <w:p>
            <w:r/>
            <w:r>
              <w:rPr>
                <w:rFonts w:ascii="Calibri" w:hAnsi="Calibri"/>
                <w:sz w:val="19"/>
              </w:rPr>
              <w:t>€16–22M (10× EBITDA)</w:t>
            </w:r>
          </w:p>
        </w:tc>
      </w:tr>
    </w:tbl>
    <w:p>
      <w:pPr>
        <w:spacing w:after="80" w:line="300" w:lineRule="auto"/>
      </w:pPr>
      <w:r>
        <w:rPr>
          <w:rFonts w:ascii="Calibri" w:hAnsi="Calibri"/>
          <w:b w:val="0"/>
          <w:i/>
          <w:color w:val="101010"/>
          <w:sz w:val="21"/>
        </w:rPr>
        <w:t>The AI overlay is the multiplier. Without it we are just doing leveraged buyouts at small ticket — a viable business but not a re-ratable platform. With it, every acquired euro of EBITDA expands 30–45% in the 12 months after platform migration, and re-rates from "small services" to "SaaS-flavoured services" at exit.</w:t>
      </w:r>
    </w:p>
    <w:p>
      <w:pPr>
        <w:spacing w:before="280" w:after="80"/>
      </w:pPr>
      <w:r>
        <w:rPr>
          <w:rFonts w:ascii="Calibri" w:hAnsi="Calibri"/>
          <w:b/>
          <w:color w:val="1F3A5F"/>
          <w:sz w:val="28"/>
        </w:rPr>
        <w:t>3.2  Three pillars</w:t>
      </w:r>
    </w:p>
    <w:p>
      <w:pPr>
        <w:spacing w:before="200" w:after="40"/>
      </w:pPr>
      <w:r>
        <w:rPr>
          <w:rFonts w:ascii="Calibri" w:hAnsi="Calibri"/>
          <w:b/>
          <w:color w:val="FF6B35"/>
          <w:sz w:val="23"/>
        </w:rPr>
        <w:t>Pillar 1 — Acquire profit</w:t>
      </w:r>
    </w:p>
    <w:p>
      <w:pPr>
        <w:spacing w:after="80" w:line="300" w:lineRule="auto"/>
      </w:pPr>
      <w:r>
        <w:rPr>
          <w:rFonts w:ascii="Calibri" w:hAnsi="Calibri"/>
          <w:b w:val="0"/>
          <w:i w:val="0"/>
          <w:color w:val="101010"/>
          <w:sz w:val="21"/>
        </w:rPr>
        <w:t>We buy €1–5M revenue practices at 3.5–4.5× LTM EBITDA, 80% cash / 20% earnout over 24 months, with 12-month seller-stays. We do not buy unprofitable practices, ever. We do not buy auditors (regulatory) or pure tax-advisory (different multiple), only general-ledger / bookkeeping / payroll practices.</w:t>
      </w:r>
    </w:p>
    <w:p>
      <w:pPr>
        <w:spacing w:before="200" w:after="40"/>
      </w:pPr>
      <w:r>
        <w:rPr>
          <w:rFonts w:ascii="Calibri" w:hAnsi="Calibri"/>
          <w:b/>
          <w:color w:val="FF6B35"/>
          <w:sz w:val="23"/>
        </w:rPr>
        <w:t>Pillar 2 — Overlay AI</w:t>
      </w:r>
    </w:p>
    <w:p>
      <w:pPr>
        <w:spacing w:after="80" w:line="300" w:lineRule="auto"/>
      </w:pPr>
      <w:r>
        <w:rPr>
          <w:rFonts w:ascii="Calibri" w:hAnsi="Calibri"/>
          <w:b w:val="0"/>
          <w:i w:val="0"/>
          <w:color w:val="101010"/>
          <w:sz w:val="21"/>
        </w:rPr>
        <w:t>Within 90 days of close we deploy: (1) OCR + classification on inbound invoices, (2) auto-reconciliation against bank feeds, (3) draft-VAT / IRPF / CIT / KSeF / SdI submissions, (4) anomaly flagging and management-reporting dashboards. Vendor stack: combination of best-of-breed (Holded, Comarch Optima, Fakturownia for PL; TeamSystem for IT; LIVS for CY) with a thin in-house orchestration layer using OpenAI / Anthropic + Document Intelligence.</w:t>
      </w:r>
    </w:p>
    <w:p>
      <w:pPr>
        <w:spacing w:before="200" w:after="40"/>
      </w:pPr>
      <w:r>
        <w:rPr>
          <w:rFonts w:ascii="Calibri" w:hAnsi="Calibri"/>
          <w:b/>
          <w:color w:val="FF6B35"/>
          <w:sz w:val="23"/>
        </w:rPr>
        <w:t>Pillar 3 — Platform and exit</w:t>
      </w:r>
    </w:p>
    <w:p>
      <w:pPr>
        <w:spacing w:after="80" w:line="300" w:lineRule="auto"/>
      </w:pPr>
      <w:r>
        <w:rPr>
          <w:rFonts w:ascii="Calibri" w:hAnsi="Calibri"/>
          <w:b w:val="0"/>
          <w:i w:val="0"/>
          <w:color w:val="101010"/>
          <w:sz w:val="21"/>
        </w:rPr>
        <w:t>After 18 months of operation across 4–6 acquired practices, we migrate the customer book onto a unified Ledger platform (white-labelled to each acquired brand). By month 36 we have €25–35M revenue, €8–11M EBITDA, multi-country, AI-enabled — exactly the asset profile Visma / EQT / Hg / Vista pay 10–14× EBITDA for.</w:t>
      </w:r>
    </w:p>
    <w:p>
      <w:r>
        <w:br w:type="page"/>
      </w:r>
    </w:p>
    <w:p>
      <w:pPr>
        <w:spacing w:before="360" w:after="120"/>
      </w:pPr>
      <w:r>
        <w:rPr>
          <w:rFonts w:ascii="Calibri" w:hAnsi="Calibri"/>
          <w:b/>
          <w:color w:val="1F3A5F"/>
          <w:sz w:val="40"/>
        </w:rPr>
        <w:t>4. Market Selection — Poland, Italy, Cyprus</w:t>
      </w:r>
    </w:p>
    <w:p>
      <w:pPr>
        <w:spacing w:before="280" w:after="80"/>
      </w:pPr>
      <w:r>
        <w:rPr>
          <w:rFonts w:ascii="Calibri" w:hAnsi="Calibri"/>
          <w:b/>
          <w:color w:val="1F3A5F"/>
          <w:sz w:val="28"/>
        </w:rPr>
        <w:t>4.1  Country scorecard</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154"/>
            <w:shd w:val="clear" w:color="auto" w:fill="1F3A5F"/>
            <w:vAlign w:val="center"/>
          </w:tcPr>
          <w:p>
            <w:r/>
            <w:r>
              <w:rPr>
                <w:rFonts w:ascii="Calibri" w:hAnsi="Calibri"/>
                <w:b/>
                <w:color w:val="FFFFFF"/>
                <w:sz w:val="20"/>
              </w:rPr>
              <w:t>Criterion</w:t>
            </w:r>
          </w:p>
        </w:tc>
        <w:tc>
          <w:tcPr>
            <w:tcW w:type="dxa" w:w="2268"/>
            <w:shd w:val="clear" w:color="auto" w:fill="1F3A5F"/>
            <w:vAlign w:val="center"/>
          </w:tcPr>
          <w:p>
            <w:r/>
            <w:r>
              <w:rPr>
                <w:rFonts w:ascii="Calibri" w:hAnsi="Calibri"/>
                <w:b/>
                <w:color w:val="FFFFFF"/>
                <w:sz w:val="20"/>
              </w:rPr>
              <w:t>Poland</w:t>
            </w:r>
          </w:p>
        </w:tc>
        <w:tc>
          <w:tcPr>
            <w:tcW w:type="dxa" w:w="2268"/>
            <w:shd w:val="clear" w:color="auto" w:fill="1F3A5F"/>
            <w:vAlign w:val="center"/>
          </w:tcPr>
          <w:p>
            <w:r/>
            <w:r>
              <w:rPr>
                <w:rFonts w:ascii="Calibri" w:hAnsi="Calibri"/>
                <w:b/>
                <w:color w:val="FFFFFF"/>
                <w:sz w:val="20"/>
              </w:rPr>
              <w:t>Italy</w:t>
            </w:r>
          </w:p>
        </w:tc>
        <w:tc>
          <w:tcPr>
            <w:tcW w:type="dxa" w:w="2268"/>
            <w:shd w:val="clear" w:color="auto" w:fill="1F3A5F"/>
            <w:vAlign w:val="center"/>
          </w:tcPr>
          <w:p>
            <w:r/>
            <w:r>
              <w:rPr>
                <w:rFonts w:ascii="Calibri" w:hAnsi="Calibri"/>
                <w:b/>
                <w:color w:val="FFFFFF"/>
                <w:sz w:val="20"/>
              </w:rPr>
              <w:t>Cyprus</w:t>
            </w:r>
          </w:p>
        </w:tc>
      </w:tr>
      <w:tr>
        <w:tc>
          <w:tcPr>
            <w:tcW w:type="dxa" w:w="2154"/>
            <w:vAlign w:val="center"/>
          </w:tcPr>
          <w:p>
            <w:r/>
            <w:r>
              <w:rPr>
                <w:rFonts w:ascii="Calibri" w:hAnsi="Calibri"/>
                <w:sz w:val="19"/>
              </w:rPr>
              <w:t>SMB count (formal)</w:t>
            </w:r>
          </w:p>
        </w:tc>
        <w:tc>
          <w:tcPr>
            <w:tcW w:type="dxa" w:w="2268"/>
            <w:vAlign w:val="center"/>
          </w:tcPr>
          <w:p>
            <w:r/>
            <w:r>
              <w:rPr>
                <w:rFonts w:ascii="Calibri" w:hAnsi="Calibri"/>
                <w:sz w:val="19"/>
              </w:rPr>
              <w:t>~2.6M</w:t>
            </w:r>
          </w:p>
        </w:tc>
        <w:tc>
          <w:tcPr>
            <w:tcW w:type="dxa" w:w="2268"/>
            <w:vAlign w:val="center"/>
          </w:tcPr>
          <w:p>
            <w:r/>
            <w:r>
              <w:rPr>
                <w:rFonts w:ascii="Calibri" w:hAnsi="Calibri"/>
                <w:sz w:val="19"/>
              </w:rPr>
              <w:t>~4.1M</w:t>
            </w:r>
          </w:p>
        </w:tc>
        <w:tc>
          <w:tcPr>
            <w:tcW w:type="dxa" w:w="2268"/>
            <w:vAlign w:val="center"/>
          </w:tcPr>
          <w:p>
            <w:r/>
            <w:r>
              <w:rPr>
                <w:rFonts w:ascii="Calibri" w:hAnsi="Calibri"/>
                <w:sz w:val="19"/>
              </w:rPr>
              <w:t>~95K</w:t>
            </w:r>
          </w:p>
        </w:tc>
      </w:tr>
      <w:tr>
        <w:tc>
          <w:tcPr>
            <w:tcW w:type="dxa" w:w="2154"/>
            <w:shd w:val="clear" w:color="auto" w:fill="F4F6F9"/>
            <w:vAlign w:val="center"/>
          </w:tcPr>
          <w:p>
            <w:r/>
            <w:r>
              <w:rPr>
                <w:rFonts w:ascii="Calibri" w:hAnsi="Calibri"/>
                <w:sz w:val="19"/>
              </w:rPr>
              <w:t>Bookkeeping practices (sub-€2M)</w:t>
            </w:r>
          </w:p>
        </w:tc>
        <w:tc>
          <w:tcPr>
            <w:tcW w:type="dxa" w:w="2268"/>
            <w:shd w:val="clear" w:color="auto" w:fill="F4F6F9"/>
            <w:vAlign w:val="center"/>
          </w:tcPr>
          <w:p>
            <w:r/>
            <w:r>
              <w:rPr>
                <w:rFonts w:ascii="Calibri" w:hAnsi="Calibri"/>
                <w:sz w:val="19"/>
              </w:rPr>
              <w:t>~8,500</w:t>
            </w:r>
          </w:p>
        </w:tc>
        <w:tc>
          <w:tcPr>
            <w:tcW w:type="dxa" w:w="2268"/>
            <w:shd w:val="clear" w:color="auto" w:fill="F4F6F9"/>
            <w:vAlign w:val="center"/>
          </w:tcPr>
          <w:p>
            <w:r/>
            <w:r>
              <w:rPr>
                <w:rFonts w:ascii="Calibri" w:hAnsi="Calibri"/>
                <w:sz w:val="19"/>
              </w:rPr>
              <w:t>~2,800</w:t>
            </w:r>
          </w:p>
        </w:tc>
        <w:tc>
          <w:tcPr>
            <w:tcW w:type="dxa" w:w="2268"/>
            <w:shd w:val="clear" w:color="auto" w:fill="F4F6F9"/>
            <w:vAlign w:val="center"/>
          </w:tcPr>
          <w:p>
            <w:r/>
            <w:r>
              <w:rPr>
                <w:rFonts w:ascii="Calibri" w:hAnsi="Calibri"/>
                <w:sz w:val="19"/>
              </w:rPr>
              <w:t>~250</w:t>
            </w:r>
          </w:p>
        </w:tc>
      </w:tr>
      <w:tr>
        <w:tc>
          <w:tcPr>
            <w:tcW w:type="dxa" w:w="2154"/>
            <w:vAlign w:val="center"/>
          </w:tcPr>
          <w:p>
            <w:r/>
            <w:r>
              <w:rPr>
                <w:rFonts w:ascii="Calibri" w:hAnsi="Calibri"/>
                <w:sz w:val="19"/>
              </w:rPr>
              <w:t>Avg practice EBITDA margin</w:t>
            </w:r>
          </w:p>
        </w:tc>
        <w:tc>
          <w:tcPr>
            <w:tcW w:type="dxa" w:w="2268"/>
            <w:vAlign w:val="center"/>
          </w:tcPr>
          <w:p>
            <w:r/>
            <w:r>
              <w:rPr>
                <w:rFonts w:ascii="Calibri" w:hAnsi="Calibri"/>
                <w:sz w:val="19"/>
              </w:rPr>
              <w:t>18–22%</w:t>
            </w:r>
          </w:p>
        </w:tc>
        <w:tc>
          <w:tcPr>
            <w:tcW w:type="dxa" w:w="2268"/>
            <w:vAlign w:val="center"/>
          </w:tcPr>
          <w:p>
            <w:r/>
            <w:r>
              <w:rPr>
                <w:rFonts w:ascii="Calibri" w:hAnsi="Calibri"/>
                <w:sz w:val="19"/>
              </w:rPr>
              <w:t>15–18%</w:t>
            </w:r>
          </w:p>
        </w:tc>
        <w:tc>
          <w:tcPr>
            <w:tcW w:type="dxa" w:w="2268"/>
            <w:vAlign w:val="center"/>
          </w:tcPr>
          <w:p>
            <w:r/>
            <w:r>
              <w:rPr>
                <w:rFonts w:ascii="Calibri" w:hAnsi="Calibri"/>
                <w:sz w:val="19"/>
              </w:rPr>
              <w:t>20–25%</w:t>
            </w:r>
          </w:p>
        </w:tc>
      </w:tr>
      <w:tr>
        <w:tc>
          <w:tcPr>
            <w:tcW w:type="dxa" w:w="2154"/>
            <w:shd w:val="clear" w:color="auto" w:fill="F4F6F9"/>
            <w:vAlign w:val="center"/>
          </w:tcPr>
          <w:p>
            <w:r/>
            <w:r>
              <w:rPr>
                <w:rFonts w:ascii="Calibri" w:hAnsi="Calibri"/>
                <w:sz w:val="19"/>
              </w:rPr>
              <w:t>Typical entry multiple</w:t>
            </w:r>
          </w:p>
        </w:tc>
        <w:tc>
          <w:tcPr>
            <w:tcW w:type="dxa" w:w="2268"/>
            <w:shd w:val="clear" w:color="auto" w:fill="F4F6F9"/>
            <w:vAlign w:val="center"/>
          </w:tcPr>
          <w:p>
            <w:r/>
            <w:r>
              <w:rPr>
                <w:rFonts w:ascii="Calibri" w:hAnsi="Calibri"/>
                <w:sz w:val="19"/>
              </w:rPr>
              <w:t>3.5–4.0× EBITDA</w:t>
            </w:r>
          </w:p>
        </w:tc>
        <w:tc>
          <w:tcPr>
            <w:tcW w:type="dxa" w:w="2268"/>
            <w:shd w:val="clear" w:color="auto" w:fill="F4F6F9"/>
            <w:vAlign w:val="center"/>
          </w:tcPr>
          <w:p>
            <w:r/>
            <w:r>
              <w:rPr>
                <w:rFonts w:ascii="Calibri" w:hAnsi="Calibri"/>
                <w:sz w:val="19"/>
              </w:rPr>
              <w:t>5.0–6.0× EBITDA</w:t>
            </w:r>
          </w:p>
        </w:tc>
        <w:tc>
          <w:tcPr>
            <w:tcW w:type="dxa" w:w="2268"/>
            <w:shd w:val="clear" w:color="auto" w:fill="F4F6F9"/>
            <w:vAlign w:val="center"/>
          </w:tcPr>
          <w:p>
            <w:r/>
            <w:r>
              <w:rPr>
                <w:rFonts w:ascii="Calibri" w:hAnsi="Calibri"/>
                <w:sz w:val="19"/>
              </w:rPr>
              <w:t>4.5–5.5× EBITDA</w:t>
            </w:r>
          </w:p>
        </w:tc>
      </w:tr>
      <w:tr>
        <w:tc>
          <w:tcPr>
            <w:tcW w:type="dxa" w:w="2154"/>
            <w:vAlign w:val="center"/>
          </w:tcPr>
          <w:p>
            <w:r/>
            <w:r>
              <w:rPr>
                <w:rFonts w:ascii="Calibri" w:hAnsi="Calibri"/>
                <w:sz w:val="19"/>
              </w:rPr>
              <w:t>E-invoicing mandate</w:t>
            </w:r>
          </w:p>
        </w:tc>
        <w:tc>
          <w:tcPr>
            <w:tcW w:type="dxa" w:w="2268"/>
            <w:vAlign w:val="center"/>
          </w:tcPr>
          <w:p>
            <w:r/>
            <w:r>
              <w:rPr>
                <w:rFonts w:ascii="Calibri" w:hAnsi="Calibri"/>
                <w:sz w:val="19"/>
              </w:rPr>
              <w:t>KSeF — Feb 2026 (large), 2027 (all)</w:t>
            </w:r>
          </w:p>
        </w:tc>
        <w:tc>
          <w:tcPr>
            <w:tcW w:type="dxa" w:w="2268"/>
            <w:vAlign w:val="center"/>
          </w:tcPr>
          <w:p>
            <w:r/>
            <w:r>
              <w:rPr>
                <w:rFonts w:ascii="Calibri" w:hAnsi="Calibri"/>
                <w:sz w:val="19"/>
              </w:rPr>
              <w:t>SdI — live since 2019 (universal)</w:t>
            </w:r>
          </w:p>
        </w:tc>
        <w:tc>
          <w:tcPr>
            <w:tcW w:type="dxa" w:w="2268"/>
            <w:vAlign w:val="center"/>
          </w:tcPr>
          <w:p>
            <w:r/>
            <w:r>
              <w:rPr>
                <w:rFonts w:ascii="Calibri" w:hAnsi="Calibri"/>
                <w:sz w:val="19"/>
              </w:rPr>
              <w:t>Voluntary; EU ViDA from 2030</w:t>
            </w:r>
          </w:p>
        </w:tc>
      </w:tr>
      <w:tr>
        <w:tc>
          <w:tcPr>
            <w:tcW w:type="dxa" w:w="2154"/>
            <w:shd w:val="clear" w:color="auto" w:fill="F4F6F9"/>
            <w:vAlign w:val="center"/>
          </w:tcPr>
          <w:p>
            <w:r/>
            <w:r>
              <w:rPr>
                <w:rFonts w:ascii="Calibri" w:hAnsi="Calibri"/>
                <w:sz w:val="19"/>
              </w:rPr>
              <w:t>Local AI-accounting incumbent</w:t>
            </w:r>
          </w:p>
        </w:tc>
        <w:tc>
          <w:tcPr>
            <w:tcW w:type="dxa" w:w="2268"/>
            <w:shd w:val="clear" w:color="auto" w:fill="F4F6F9"/>
            <w:vAlign w:val="center"/>
          </w:tcPr>
          <w:p>
            <w:r/>
            <w:r>
              <w:rPr>
                <w:rFonts w:ascii="Calibri" w:hAnsi="Calibri"/>
                <w:sz w:val="19"/>
              </w:rPr>
              <w:t>Comarch, Fakturownia, iFirma</w:t>
            </w:r>
          </w:p>
        </w:tc>
        <w:tc>
          <w:tcPr>
            <w:tcW w:type="dxa" w:w="2268"/>
            <w:shd w:val="clear" w:color="auto" w:fill="F4F6F9"/>
            <w:vAlign w:val="center"/>
          </w:tcPr>
          <w:p>
            <w:r/>
            <w:r>
              <w:rPr>
                <w:rFonts w:ascii="Calibri" w:hAnsi="Calibri"/>
                <w:sz w:val="19"/>
              </w:rPr>
              <w:t>TeamSystem, Zucchetti, Fiscozen</w:t>
            </w:r>
          </w:p>
        </w:tc>
        <w:tc>
          <w:tcPr>
            <w:tcW w:type="dxa" w:w="2268"/>
            <w:shd w:val="clear" w:color="auto" w:fill="F4F6F9"/>
            <w:vAlign w:val="center"/>
          </w:tcPr>
          <w:p>
            <w:r/>
            <w:r>
              <w:rPr>
                <w:rFonts w:ascii="Calibri" w:hAnsi="Calibri"/>
                <w:sz w:val="19"/>
              </w:rPr>
              <w:t>LIVS, E-Soft, Sage Cyprus</w:t>
            </w:r>
          </w:p>
        </w:tc>
      </w:tr>
      <w:tr>
        <w:tc>
          <w:tcPr>
            <w:tcW w:type="dxa" w:w="2154"/>
            <w:vAlign w:val="center"/>
          </w:tcPr>
          <w:p>
            <w:r/>
            <w:r>
              <w:rPr>
                <w:rFonts w:ascii="Calibri" w:hAnsi="Calibri"/>
                <w:sz w:val="19"/>
              </w:rPr>
              <w:t>Visma presence</w:t>
            </w:r>
          </w:p>
        </w:tc>
        <w:tc>
          <w:tcPr>
            <w:tcW w:type="dxa" w:w="2268"/>
            <w:vAlign w:val="center"/>
          </w:tcPr>
          <w:p>
            <w:r/>
            <w:r>
              <w:rPr>
                <w:rFonts w:ascii="Calibri" w:hAnsi="Calibri"/>
                <w:sz w:val="19"/>
              </w:rPr>
              <w:t>Light (selective deals)</w:t>
            </w:r>
          </w:p>
        </w:tc>
        <w:tc>
          <w:tcPr>
            <w:tcW w:type="dxa" w:w="2268"/>
            <w:vAlign w:val="center"/>
          </w:tcPr>
          <w:p>
            <w:r/>
            <w:r>
              <w:rPr>
                <w:rFonts w:ascii="Calibri" w:hAnsi="Calibri"/>
                <w:sz w:val="19"/>
              </w:rPr>
              <w:t>Yes (Fiscozen 2024)</w:t>
            </w:r>
          </w:p>
        </w:tc>
        <w:tc>
          <w:tcPr>
            <w:tcW w:type="dxa" w:w="2268"/>
            <w:vAlign w:val="center"/>
          </w:tcPr>
          <w:p>
            <w:r/>
            <w:r>
              <w:rPr>
                <w:rFonts w:ascii="Calibri" w:hAnsi="Calibri"/>
                <w:sz w:val="19"/>
              </w:rPr>
              <w:t>None</w:t>
            </w:r>
          </w:p>
        </w:tc>
      </w:tr>
      <w:tr>
        <w:tc>
          <w:tcPr>
            <w:tcW w:type="dxa" w:w="2154"/>
            <w:shd w:val="clear" w:color="auto" w:fill="F4F6F9"/>
            <w:vAlign w:val="center"/>
          </w:tcPr>
          <w:p>
            <w:r/>
            <w:r>
              <w:rPr>
                <w:rFonts w:ascii="Calibri" w:hAnsi="Calibri"/>
                <w:sz w:val="19"/>
              </w:rPr>
              <w:t>Sequencing priority</w:t>
            </w:r>
          </w:p>
        </w:tc>
        <w:tc>
          <w:tcPr>
            <w:tcW w:type="dxa" w:w="2268"/>
            <w:shd w:val="clear" w:color="auto" w:fill="F4F6F9"/>
            <w:vAlign w:val="center"/>
          </w:tcPr>
          <w:p>
            <w:r/>
            <w:r>
              <w:rPr>
                <w:rFonts w:ascii="Calibri" w:hAnsi="Calibri"/>
                <w:sz w:val="19"/>
              </w:rPr>
              <w:t>1st</w:t>
            </w:r>
          </w:p>
        </w:tc>
        <w:tc>
          <w:tcPr>
            <w:tcW w:type="dxa" w:w="2268"/>
            <w:shd w:val="clear" w:color="auto" w:fill="F4F6F9"/>
            <w:vAlign w:val="center"/>
          </w:tcPr>
          <w:p>
            <w:r/>
            <w:r>
              <w:rPr>
                <w:rFonts w:ascii="Calibri" w:hAnsi="Calibri"/>
                <w:sz w:val="19"/>
              </w:rPr>
              <w:t>3rd</w:t>
            </w:r>
          </w:p>
        </w:tc>
        <w:tc>
          <w:tcPr>
            <w:tcW w:type="dxa" w:w="2268"/>
            <w:shd w:val="clear" w:color="auto" w:fill="F4F6F9"/>
            <w:vAlign w:val="center"/>
          </w:tcPr>
          <w:p>
            <w:r/>
            <w:r>
              <w:rPr>
                <w:rFonts w:ascii="Calibri" w:hAnsi="Calibri"/>
                <w:sz w:val="19"/>
              </w:rPr>
              <w:t>2nd (holdco)</w:t>
            </w:r>
          </w:p>
        </w:tc>
      </w:tr>
      <w:tr>
        <w:tc>
          <w:tcPr>
            <w:tcW w:type="dxa" w:w="2154"/>
            <w:vAlign w:val="center"/>
          </w:tcPr>
          <w:p>
            <w:r/>
            <w:r>
              <w:rPr>
                <w:rFonts w:ascii="Calibri" w:hAnsi="Calibri"/>
                <w:sz w:val="19"/>
              </w:rPr>
              <w:t>Ledger thesis fit</w:t>
            </w:r>
          </w:p>
        </w:tc>
        <w:tc>
          <w:tcPr>
            <w:tcW w:type="dxa" w:w="2268"/>
            <w:vAlign w:val="center"/>
          </w:tcPr>
          <w:p>
            <w:r/>
            <w:r>
              <w:rPr>
                <w:rFonts w:ascii="Calibri" w:hAnsi="Calibri"/>
                <w:sz w:val="19"/>
              </w:rPr>
              <w:t>Highest urgency (KSeF) + lowest mult.</w:t>
            </w:r>
          </w:p>
        </w:tc>
        <w:tc>
          <w:tcPr>
            <w:tcW w:type="dxa" w:w="2268"/>
            <w:vAlign w:val="center"/>
          </w:tcPr>
          <w:p>
            <w:r/>
            <w:r>
              <w:rPr>
                <w:rFonts w:ascii="Calibri" w:hAnsi="Calibri"/>
                <w:sz w:val="19"/>
              </w:rPr>
              <w:t>Largest TAM, slower entry</w:t>
            </w:r>
          </w:p>
        </w:tc>
        <w:tc>
          <w:tcPr>
            <w:tcW w:type="dxa" w:w="2268"/>
            <w:vAlign w:val="center"/>
          </w:tcPr>
          <w:p>
            <w:r/>
            <w:r>
              <w:rPr>
                <w:rFonts w:ascii="Calibri" w:hAnsi="Calibri"/>
                <w:sz w:val="19"/>
              </w:rPr>
              <w:t>Holdco structure + small footprint</w:t>
            </w:r>
          </w:p>
        </w:tc>
      </w:tr>
    </w:tbl>
    <w:p>
      <w:pPr>
        <w:spacing w:before="280" w:after="80"/>
      </w:pPr>
      <w:r>
        <w:rPr>
          <w:rFonts w:ascii="Calibri" w:hAnsi="Calibri"/>
          <w:b/>
          <w:color w:val="1F3A5F"/>
          <w:sz w:val="28"/>
        </w:rPr>
        <w:t>4.2  Poland — first geography</w:t>
      </w:r>
    </w:p>
    <w:p>
      <w:pPr>
        <w:spacing w:after="80" w:line="300" w:lineRule="auto"/>
      </w:pPr>
      <w:r>
        <w:rPr>
          <w:rFonts w:ascii="Calibri" w:hAnsi="Calibri"/>
          <w:b w:val="0"/>
          <w:i w:val="0"/>
          <w:color w:val="101010"/>
          <w:sz w:val="21"/>
        </w:rPr>
        <w:t>Poland is our beachhead. Three reasons:</w:t>
      </w:r>
    </w:p>
    <w:p>
      <w:pPr>
        <w:pStyle w:val="ListBullet"/>
        <w:spacing w:after="40" w:line="288" w:lineRule="auto"/>
      </w:pPr>
      <w:r>
        <w:rPr>
          <w:rFonts w:ascii="Calibri" w:hAnsi="Calibri"/>
          <w:b/>
          <w:sz w:val="21"/>
        </w:rPr>
        <w:t>Regulatory cliff:</w:t>
      </w:r>
      <w:r>
        <w:rPr>
          <w:rFonts w:ascii="Calibri" w:hAnsi="Calibri"/>
          <w:sz w:val="21"/>
        </w:rPr>
        <w:t xml:space="preserve"> KSeF (Krajowy System e-Faktur) becomes mandatory for VAT-registered businesses in February 2026 (rolling cliff through 2027). Every accounting practice needs to upgrade software, training and process. Smaller practices cannot afford the capex.</w:t>
      </w:r>
    </w:p>
    <w:p>
      <w:pPr>
        <w:pStyle w:val="ListBullet"/>
        <w:spacing w:after="40" w:line="288" w:lineRule="auto"/>
      </w:pPr>
      <w:r>
        <w:rPr>
          <w:rFonts w:ascii="Calibri" w:hAnsi="Calibri"/>
          <w:b/>
          <w:sz w:val="21"/>
        </w:rPr>
        <w:t>Best entry economics:</w:t>
      </w:r>
      <w:r>
        <w:rPr>
          <w:rFonts w:ascii="Calibri" w:hAnsi="Calibri"/>
          <w:sz w:val="21"/>
        </w:rPr>
        <w:t xml:space="preserve"> Highest practice count (~8,500 sub-€2M practices) and lowest entry multiples (3.5–4.0× EBITDA, sometimes lower for retirement-driven sellers).</w:t>
      </w:r>
    </w:p>
    <w:p>
      <w:pPr>
        <w:pStyle w:val="ListBullet"/>
        <w:spacing w:after="40" w:line="288" w:lineRule="auto"/>
      </w:pPr>
      <w:r>
        <w:rPr>
          <w:rFonts w:ascii="Calibri" w:hAnsi="Calibri"/>
          <w:b/>
          <w:sz w:val="21"/>
        </w:rPr>
        <w:t>Mature tech stack:</w:t>
      </w:r>
      <w:r>
        <w:rPr>
          <w:rFonts w:ascii="Calibri" w:hAnsi="Calibri"/>
          <w:sz w:val="21"/>
        </w:rPr>
        <w:t xml:space="preserve"> Comarch and Fakturownia have already built the e-invoicing rails — we plug into them rather than build, so AI overlay is a 60-day deployment, not 6 months.</w:t>
      </w:r>
    </w:p>
    <w:p>
      <w:pPr>
        <w:spacing w:before="200" w:after="40"/>
      </w:pPr>
      <w:r>
        <w:rPr>
          <w:rFonts w:ascii="Calibri" w:hAnsi="Calibri"/>
          <w:b/>
          <w:color w:val="FF6B35"/>
          <w:sz w:val="23"/>
        </w:rPr>
        <w:t>Polish playbook — Year 1</w:t>
      </w:r>
    </w:p>
    <w:p>
      <w:pPr>
        <w:pStyle w:val="ListBullet"/>
        <w:spacing w:after="40" w:line="288" w:lineRule="auto"/>
      </w:pPr>
      <w:r>
        <w:rPr>
          <w:rFonts w:ascii="Calibri" w:hAnsi="Calibri"/>
          <w:sz w:val="21"/>
        </w:rPr>
        <w:t>Close LEDGER-1 in month 4 (Warsaw / Wrocław, €2.5M revenue, €0.5M EBITDA, 3.5× = €1.75M EV).</w:t>
      </w:r>
    </w:p>
    <w:p>
      <w:pPr>
        <w:pStyle w:val="ListBullet"/>
        <w:spacing w:after="40" w:line="288" w:lineRule="auto"/>
      </w:pPr>
      <w:r>
        <w:rPr>
          <w:rFonts w:ascii="Calibri" w:hAnsi="Calibri"/>
          <w:sz w:val="21"/>
        </w:rPr>
        <w:t>Close LEDGER-2 in month 6 (Kraków / Poznań, €1.8M revenue, €0.4M EBITDA, 3.5× = €1.4M EV).</w:t>
      </w:r>
    </w:p>
    <w:p>
      <w:pPr>
        <w:pStyle w:val="ListBullet"/>
        <w:spacing w:after="40" w:line="288" w:lineRule="auto"/>
      </w:pPr>
      <w:r>
        <w:rPr>
          <w:rFonts w:ascii="Calibri" w:hAnsi="Calibri"/>
          <w:sz w:val="21"/>
        </w:rPr>
        <w:t>Launch Ledger Poland Sp. z o.o. — integration entity for shared services, AI overlay, brand portfolio.</w:t>
      </w:r>
    </w:p>
    <w:p>
      <w:pPr>
        <w:pStyle w:val="ListBullet"/>
        <w:spacing w:after="40" w:line="288" w:lineRule="auto"/>
      </w:pPr>
      <w:r>
        <w:rPr>
          <w:rFonts w:ascii="Calibri" w:hAnsi="Calibri"/>
          <w:sz w:val="21"/>
        </w:rPr>
        <w:t>Hire local M&amp;A originator and an integration lead (head of operations) in months 2 and 3 respectively.</w:t>
      </w:r>
    </w:p>
    <w:p>
      <w:pPr>
        <w:spacing w:before="280" w:after="80"/>
      </w:pPr>
      <w:r>
        <w:rPr>
          <w:rFonts w:ascii="Calibri" w:hAnsi="Calibri"/>
          <w:b/>
          <w:color w:val="1F3A5F"/>
          <w:sz w:val="28"/>
        </w:rPr>
        <w:t>4.3  Cyprus — holdco and toehold</w:t>
      </w:r>
    </w:p>
    <w:p>
      <w:pPr>
        <w:spacing w:after="80" w:line="300" w:lineRule="auto"/>
      </w:pPr>
      <w:r>
        <w:rPr>
          <w:rFonts w:ascii="Calibri" w:hAnsi="Calibri"/>
          <w:b w:val="0"/>
          <w:i w:val="0"/>
          <w:color w:val="101010"/>
          <w:sz w:val="21"/>
        </w:rPr>
        <w:t>Cyprus serves two roles: (1) Ledger Holdings Limited is incorporated in Limassol as the group parent, with IP licensing, tax structuring and EU passporting flowing through it; (2) a small local toehold acquisition (1 practice, €0.6–1M revenue) establishes operational presence and tests the integration model on a low-stakes asset before deploying capital in Italy.</w:t>
      </w:r>
    </w:p>
    <w:p>
      <w:pPr>
        <w:spacing w:after="80" w:line="300" w:lineRule="auto"/>
      </w:pPr>
      <w:r>
        <w:rPr>
          <w:rFonts w:ascii="Calibri" w:hAnsi="Calibri"/>
          <w:b w:val="0"/>
          <w:i w:val="0"/>
          <w:color w:val="101010"/>
          <w:sz w:val="21"/>
        </w:rPr>
        <w:t>Cyprus tax: 12.5% corporate rate, IP-box at effective 2.5% on qualifying IP, no withholding on outbound dividends to NL/UK/Ireland shareholders, double-tax treaties with Poland and Italy. Standard PE structure.</w:t>
      </w:r>
    </w:p>
    <w:p>
      <w:pPr>
        <w:spacing w:before="200" w:after="40"/>
      </w:pPr>
      <w:r>
        <w:rPr>
          <w:rFonts w:ascii="Calibri" w:hAnsi="Calibri"/>
          <w:b/>
          <w:color w:val="FF6B35"/>
          <w:sz w:val="23"/>
        </w:rPr>
        <w:t>Cyprus playbook — Year 1</w:t>
      </w:r>
    </w:p>
    <w:p>
      <w:pPr>
        <w:pStyle w:val="ListBullet"/>
        <w:spacing w:after="40" w:line="288" w:lineRule="auto"/>
      </w:pPr>
      <w:r>
        <w:rPr>
          <w:rFonts w:ascii="Calibri" w:hAnsi="Calibri"/>
          <w:sz w:val="21"/>
        </w:rPr>
        <w:t>Incorporate Ledger Holdings Limited in month 1.</w:t>
      </w:r>
    </w:p>
    <w:p>
      <w:pPr>
        <w:pStyle w:val="ListBullet"/>
        <w:spacing w:after="40" w:line="288" w:lineRule="auto"/>
      </w:pPr>
      <w:r>
        <w:rPr>
          <w:rFonts w:ascii="Calibri" w:hAnsi="Calibri"/>
          <w:sz w:val="21"/>
        </w:rPr>
        <w:t>Engage Cyprus law firm (Andreas Neocleous, Chrysostomides, KPMG-Cy) for structure on Day 30.</w:t>
      </w:r>
    </w:p>
    <w:p>
      <w:pPr>
        <w:pStyle w:val="ListBullet"/>
        <w:spacing w:after="40" w:line="288" w:lineRule="auto"/>
      </w:pPr>
      <w:r>
        <w:rPr>
          <w:rFonts w:ascii="Calibri" w:hAnsi="Calibri"/>
          <w:sz w:val="21"/>
        </w:rPr>
        <w:t>Close LEDGER-CY-1 in month 7 — single local practice, €0.8M revenue, €0.2M EBITDA, 4× = €0.8M EV.</w:t>
      </w:r>
    </w:p>
    <w:p>
      <w:pPr>
        <w:pStyle w:val="ListBullet"/>
        <w:spacing w:after="40" w:line="288" w:lineRule="auto"/>
      </w:pPr>
      <w:r>
        <w:rPr>
          <w:rFonts w:ascii="Calibri" w:hAnsi="Calibri"/>
          <w:sz w:val="21"/>
        </w:rPr>
        <w:t>Use LEDGER-CY-1 as the AI-overlay sandbox before deploying to bigger PL/IT assets.</w:t>
      </w:r>
    </w:p>
    <w:p>
      <w:pPr>
        <w:spacing w:before="280" w:after="80"/>
      </w:pPr>
      <w:r>
        <w:rPr>
          <w:rFonts w:ascii="Calibri" w:hAnsi="Calibri"/>
          <w:b/>
          <w:color w:val="1F3A5F"/>
          <w:sz w:val="28"/>
        </w:rPr>
        <w:t>4.4  Italy — scale geography (year 2+)</w:t>
      </w:r>
    </w:p>
    <w:p>
      <w:pPr>
        <w:spacing w:after="80" w:line="300" w:lineRule="auto"/>
      </w:pPr>
      <w:r>
        <w:rPr>
          <w:rFonts w:ascii="Calibri" w:hAnsi="Calibri"/>
          <w:b w:val="0"/>
          <w:i w:val="0"/>
          <w:color w:val="101010"/>
          <w:sz w:val="21"/>
        </w:rPr>
        <w:t>Italy is the largest TAM but is also where Visma already plays (Fiscozen, 2024). We defer Italy to month 15+ because:</w:t>
      </w:r>
    </w:p>
    <w:p>
      <w:pPr>
        <w:pStyle w:val="ListBullet"/>
        <w:spacing w:after="40" w:line="288" w:lineRule="auto"/>
      </w:pPr>
      <w:r>
        <w:rPr>
          <w:rFonts w:ascii="Calibri" w:hAnsi="Calibri"/>
          <w:sz w:val="21"/>
        </w:rPr>
        <w:t>Higher entry multiples (5–6× EBITDA) require more capital — better deployed after Series A.</w:t>
      </w:r>
    </w:p>
    <w:p>
      <w:pPr>
        <w:pStyle w:val="ListBullet"/>
        <w:spacing w:after="40" w:line="288" w:lineRule="auto"/>
      </w:pPr>
      <w:r>
        <w:rPr>
          <w:rFonts w:ascii="Calibri" w:hAnsi="Calibri"/>
          <w:sz w:val="21"/>
        </w:rPr>
        <w:t>SdI is already universal, so no regulatory urgency — buyers are not pressured to sell.</w:t>
      </w:r>
    </w:p>
    <w:p>
      <w:pPr>
        <w:pStyle w:val="ListBullet"/>
        <w:spacing w:after="40" w:line="288" w:lineRule="auto"/>
      </w:pPr>
      <w:r>
        <w:rPr>
          <w:rFonts w:ascii="Calibri" w:hAnsi="Calibri"/>
          <w:sz w:val="21"/>
        </w:rPr>
        <w:t>Visma is active — we need an established Polish track record to compete on speed and terms.</w:t>
      </w:r>
    </w:p>
    <w:p>
      <w:pPr>
        <w:pStyle w:val="ListBullet"/>
        <w:spacing w:after="40" w:line="288" w:lineRule="auto"/>
      </w:pPr>
      <w:r>
        <w:rPr>
          <w:rFonts w:ascii="Calibri" w:hAnsi="Calibri"/>
          <w:sz w:val="21"/>
        </w:rPr>
        <w:t>TeamSystem and Zucchetti dominate the tech stack — integration risk higher, slower deployment.</w:t>
      </w:r>
    </w:p>
    <w:p>
      <w:pPr>
        <w:spacing w:before="200" w:after="40"/>
      </w:pPr>
      <w:r>
        <w:rPr>
          <w:rFonts w:ascii="Calibri" w:hAnsi="Calibri"/>
          <w:b/>
          <w:color w:val="FF6B35"/>
          <w:sz w:val="23"/>
        </w:rPr>
        <w:t>Italian playbook — Year 2+</w:t>
      </w:r>
    </w:p>
    <w:p>
      <w:pPr>
        <w:pStyle w:val="ListBullet"/>
        <w:spacing w:after="40" w:line="288" w:lineRule="auto"/>
      </w:pPr>
      <w:r>
        <w:rPr>
          <w:rFonts w:ascii="Calibri" w:hAnsi="Calibri"/>
          <w:sz w:val="21"/>
        </w:rPr>
        <w:t>Open Ledger Italia Srl in month 12 (Milan or Rome).</w:t>
      </w:r>
    </w:p>
    <w:p>
      <w:pPr>
        <w:pStyle w:val="ListBullet"/>
        <w:spacing w:after="40" w:line="288" w:lineRule="auto"/>
      </w:pPr>
      <w:r>
        <w:rPr>
          <w:rFonts w:ascii="Calibri" w:hAnsi="Calibri"/>
          <w:sz w:val="21"/>
        </w:rPr>
        <w:t>Close LEDGER-IT-1 in month 16 — €4M revenue, €0.7M EBITDA, 5× = €3.5M EV.</w:t>
      </w:r>
    </w:p>
    <w:p>
      <w:pPr>
        <w:pStyle w:val="ListBullet"/>
        <w:spacing w:after="40" w:line="288" w:lineRule="auto"/>
      </w:pPr>
      <w:r>
        <w:rPr>
          <w:rFonts w:ascii="Calibri" w:hAnsi="Calibri"/>
          <w:sz w:val="21"/>
        </w:rPr>
        <w:t>Build out 3 Italian closes through FY29.</w:t>
      </w:r>
    </w:p>
    <w:p>
      <w:pPr>
        <w:pStyle w:val="ListBullet"/>
        <w:spacing w:after="40" w:line="288" w:lineRule="auto"/>
      </w:pPr>
      <w:r>
        <w:rPr>
          <w:rFonts w:ascii="Calibri" w:hAnsi="Calibri"/>
          <w:sz w:val="21"/>
        </w:rPr>
        <w:t>Italy will likely be the asset that triggers an exit conversation with Visma in FY30.</w:t>
      </w:r>
    </w:p>
    <w:p>
      <w:r>
        <w:br w:type="page"/>
      </w:r>
    </w:p>
    <w:p>
      <w:pPr>
        <w:spacing w:before="360" w:after="120"/>
      </w:pPr>
      <w:r>
        <w:rPr>
          <w:rFonts w:ascii="Calibri" w:hAnsi="Calibri"/>
          <w:b/>
          <w:color w:val="1F3A5F"/>
          <w:sz w:val="40"/>
        </w:rPr>
        <w:t>5. Operating Model</w:t>
      </w:r>
    </w:p>
    <w:p>
      <w:pPr>
        <w:spacing w:before="280" w:after="80"/>
      </w:pPr>
      <w:r>
        <w:rPr>
          <w:rFonts w:ascii="Calibri" w:hAnsi="Calibri"/>
          <w:b/>
          <w:color w:val="1F3A5F"/>
          <w:sz w:val="28"/>
        </w:rPr>
        <w:t>5.1  Holding structure</w:t>
      </w:r>
    </w:p>
    <w:p>
      <w:pPr>
        <w:spacing w:after="80" w:line="300" w:lineRule="auto"/>
      </w:pPr>
      <w:r>
        <w:rPr>
          <w:rFonts w:ascii="Calibri" w:hAnsi="Calibri"/>
          <w:b w:val="0"/>
          <w:i w:val="0"/>
          <w:color w:val="101010"/>
          <w:sz w:val="21"/>
        </w:rPr>
        <w:t>Three-tier holdco structure:</w:t>
      </w:r>
    </w:p>
    <w:p>
      <w:pPr>
        <w:pStyle w:val="ListBullet"/>
        <w:spacing w:after="40" w:line="288" w:lineRule="auto"/>
      </w:pPr>
      <w:r>
        <w:rPr>
          <w:rFonts w:ascii="Calibri" w:hAnsi="Calibri"/>
          <w:b/>
          <w:sz w:val="21"/>
        </w:rPr>
        <w:t>Tier 1:</w:t>
      </w:r>
      <w:r>
        <w:rPr>
          <w:rFonts w:ascii="Calibri" w:hAnsi="Calibri"/>
          <w:sz w:val="21"/>
        </w:rPr>
        <w:t xml:space="preserve"> Ledger Holdings Limited (Cyprus) — group parent, IP, holdco-level debt, equity cap table.</w:t>
      </w:r>
    </w:p>
    <w:p>
      <w:pPr>
        <w:pStyle w:val="ListBullet"/>
        <w:spacing w:after="40" w:line="288" w:lineRule="auto"/>
      </w:pPr>
      <w:r>
        <w:rPr>
          <w:rFonts w:ascii="Calibri" w:hAnsi="Calibri"/>
          <w:b/>
          <w:sz w:val="21"/>
        </w:rPr>
        <w:t>Tier 2:</w:t>
      </w:r>
      <w:r>
        <w:rPr>
          <w:rFonts w:ascii="Calibri" w:hAnsi="Calibri"/>
          <w:sz w:val="21"/>
        </w:rPr>
        <w:t xml:space="preserve"> Country subholdings — Ledger Poland Sp. z o.o., Ledger Italia Srl, Ledger Cyprus Ltd. Each owns the local acquired practices and consolidates locally.</w:t>
      </w:r>
    </w:p>
    <w:p>
      <w:pPr>
        <w:pStyle w:val="ListBullet"/>
        <w:spacing w:after="40" w:line="288" w:lineRule="auto"/>
      </w:pPr>
      <w:r>
        <w:rPr>
          <w:rFonts w:ascii="Calibri" w:hAnsi="Calibri"/>
          <w:b/>
          <w:sz w:val="21"/>
        </w:rPr>
        <w:t>Tier 3:</w:t>
      </w:r>
      <w:r>
        <w:rPr>
          <w:rFonts w:ascii="Calibri" w:hAnsi="Calibri"/>
          <w:sz w:val="21"/>
        </w:rPr>
        <w:t xml:space="preserve"> Operating practices — each acquired practice retained as its own legal entity for the first 24 months (preserves local licenses, client trust, seller earnout), then merged or wound down post-platform migration.</w:t>
      </w:r>
    </w:p>
    <w:p>
      <w:pPr>
        <w:spacing w:before="280" w:after="80"/>
      </w:pPr>
      <w:r>
        <w:rPr>
          <w:rFonts w:ascii="Calibri" w:hAnsi="Calibri"/>
          <w:b/>
          <w:color w:val="1F3A5F"/>
          <w:sz w:val="28"/>
        </w:rPr>
        <w:t>5.2  Functional org by Year 2</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1F3A5F"/>
            <w:vAlign w:val="center"/>
          </w:tcPr>
          <w:p>
            <w:r/>
            <w:r>
              <w:rPr>
                <w:rFonts w:ascii="Calibri" w:hAnsi="Calibri"/>
                <w:b/>
                <w:color w:val="FFFFFF"/>
                <w:sz w:val="20"/>
              </w:rPr>
              <w:t>Function</w:t>
            </w:r>
          </w:p>
        </w:tc>
        <w:tc>
          <w:tcPr>
            <w:tcW w:type="dxa" w:w="1417"/>
            <w:shd w:val="clear" w:color="auto" w:fill="1F3A5F"/>
            <w:vAlign w:val="center"/>
          </w:tcPr>
          <w:p>
            <w:r/>
            <w:r>
              <w:rPr>
                <w:rFonts w:ascii="Calibri" w:hAnsi="Calibri"/>
                <w:b/>
                <w:color w:val="FFFFFF"/>
                <w:sz w:val="20"/>
              </w:rPr>
              <w:t>Headcount Y2</w:t>
            </w:r>
          </w:p>
        </w:tc>
        <w:tc>
          <w:tcPr>
            <w:tcW w:type="dxa" w:w="1701"/>
            <w:shd w:val="clear" w:color="auto" w:fill="1F3A5F"/>
            <w:vAlign w:val="center"/>
          </w:tcPr>
          <w:p>
            <w:r/>
            <w:r>
              <w:rPr>
                <w:rFonts w:ascii="Calibri" w:hAnsi="Calibri"/>
                <w:b/>
                <w:color w:val="FFFFFF"/>
                <w:sz w:val="20"/>
              </w:rPr>
              <w:t>Located in</w:t>
            </w:r>
          </w:p>
        </w:tc>
        <w:tc>
          <w:tcPr>
            <w:tcW w:type="dxa" w:w="3402"/>
            <w:shd w:val="clear" w:color="auto" w:fill="1F3A5F"/>
            <w:vAlign w:val="center"/>
          </w:tcPr>
          <w:p>
            <w:r/>
            <w:r>
              <w:rPr>
                <w:rFonts w:ascii="Calibri" w:hAnsi="Calibri"/>
                <w:b/>
                <w:color w:val="FFFFFF"/>
                <w:sz w:val="20"/>
              </w:rPr>
              <w:t>Notes</w:t>
            </w:r>
          </w:p>
        </w:tc>
      </w:tr>
      <w:tr>
        <w:tc>
          <w:tcPr>
            <w:tcW w:type="dxa" w:w="2268"/>
            <w:vAlign w:val="center"/>
          </w:tcPr>
          <w:p>
            <w:r/>
            <w:r>
              <w:rPr>
                <w:rFonts w:ascii="Calibri" w:hAnsi="Calibri"/>
                <w:sz w:val="19"/>
              </w:rPr>
              <w:t>Group CEO / Founder</w:t>
            </w:r>
          </w:p>
        </w:tc>
        <w:tc>
          <w:tcPr>
            <w:tcW w:type="dxa" w:w="1417"/>
            <w:vAlign w:val="center"/>
          </w:tcPr>
          <w:p>
            <w:r/>
            <w:r>
              <w:rPr>
                <w:rFonts w:ascii="Calibri" w:hAnsi="Calibri"/>
                <w:sz w:val="19"/>
              </w:rPr>
              <w:t>1</w:t>
            </w:r>
          </w:p>
        </w:tc>
        <w:tc>
          <w:tcPr>
            <w:tcW w:type="dxa" w:w="1701"/>
            <w:vAlign w:val="center"/>
          </w:tcPr>
          <w:p>
            <w:r/>
            <w:r>
              <w:rPr>
                <w:rFonts w:ascii="Calibri" w:hAnsi="Calibri"/>
                <w:sz w:val="19"/>
              </w:rPr>
              <w:t>Cyprus / NL</w:t>
            </w:r>
          </w:p>
        </w:tc>
        <w:tc>
          <w:tcPr>
            <w:tcW w:type="dxa" w:w="3402"/>
            <w:vAlign w:val="center"/>
          </w:tcPr>
          <w:p>
            <w:r/>
            <w:r>
              <w:rPr>
                <w:rFonts w:ascii="Calibri" w:hAnsi="Calibri"/>
                <w:sz w:val="19"/>
              </w:rPr>
              <w:t>Strategy, capital, M&amp;A pipeline</w:t>
            </w:r>
          </w:p>
        </w:tc>
      </w:tr>
      <w:tr>
        <w:tc>
          <w:tcPr>
            <w:tcW w:type="dxa" w:w="2268"/>
            <w:shd w:val="clear" w:color="auto" w:fill="F4F6F9"/>
            <w:vAlign w:val="center"/>
          </w:tcPr>
          <w:p>
            <w:r/>
            <w:r>
              <w:rPr>
                <w:rFonts w:ascii="Calibri" w:hAnsi="Calibri"/>
                <w:sz w:val="19"/>
              </w:rPr>
              <w:t>Group CFO</w:t>
            </w:r>
          </w:p>
        </w:tc>
        <w:tc>
          <w:tcPr>
            <w:tcW w:type="dxa" w:w="1417"/>
            <w:shd w:val="clear" w:color="auto" w:fill="F4F6F9"/>
            <w:vAlign w:val="center"/>
          </w:tcPr>
          <w:p>
            <w:r/>
            <w:r>
              <w:rPr>
                <w:rFonts w:ascii="Calibri" w:hAnsi="Calibri"/>
                <w:sz w:val="19"/>
              </w:rPr>
              <w:t>1</w:t>
            </w:r>
          </w:p>
        </w:tc>
        <w:tc>
          <w:tcPr>
            <w:tcW w:type="dxa" w:w="1701"/>
            <w:shd w:val="clear" w:color="auto" w:fill="F4F6F9"/>
            <w:vAlign w:val="center"/>
          </w:tcPr>
          <w:p>
            <w:r/>
            <w:r>
              <w:rPr>
                <w:rFonts w:ascii="Calibri" w:hAnsi="Calibri"/>
                <w:sz w:val="19"/>
              </w:rPr>
              <w:t>Cyprus</w:t>
            </w:r>
          </w:p>
        </w:tc>
        <w:tc>
          <w:tcPr>
            <w:tcW w:type="dxa" w:w="3402"/>
            <w:shd w:val="clear" w:color="auto" w:fill="F4F6F9"/>
            <w:vAlign w:val="center"/>
          </w:tcPr>
          <w:p>
            <w:r/>
            <w:r>
              <w:rPr>
                <w:rFonts w:ascii="Calibri" w:hAnsi="Calibri"/>
                <w:sz w:val="19"/>
              </w:rPr>
              <w:t>Consolidation, audit, treasury</w:t>
            </w:r>
          </w:p>
        </w:tc>
      </w:tr>
      <w:tr>
        <w:tc>
          <w:tcPr>
            <w:tcW w:type="dxa" w:w="2268"/>
            <w:vAlign w:val="center"/>
          </w:tcPr>
          <w:p>
            <w:r/>
            <w:r>
              <w:rPr>
                <w:rFonts w:ascii="Calibri" w:hAnsi="Calibri"/>
                <w:sz w:val="19"/>
              </w:rPr>
              <w:t>M&amp;A originator (PL)</w:t>
            </w:r>
          </w:p>
        </w:tc>
        <w:tc>
          <w:tcPr>
            <w:tcW w:type="dxa" w:w="1417"/>
            <w:vAlign w:val="center"/>
          </w:tcPr>
          <w:p>
            <w:r/>
            <w:r>
              <w:rPr>
                <w:rFonts w:ascii="Calibri" w:hAnsi="Calibri"/>
                <w:sz w:val="19"/>
              </w:rPr>
              <w:t>1</w:t>
            </w:r>
          </w:p>
        </w:tc>
        <w:tc>
          <w:tcPr>
            <w:tcW w:type="dxa" w:w="1701"/>
            <w:vAlign w:val="center"/>
          </w:tcPr>
          <w:p>
            <w:r/>
            <w:r>
              <w:rPr>
                <w:rFonts w:ascii="Calibri" w:hAnsi="Calibri"/>
                <w:sz w:val="19"/>
              </w:rPr>
              <w:t>Warsaw</w:t>
            </w:r>
          </w:p>
        </w:tc>
        <w:tc>
          <w:tcPr>
            <w:tcW w:type="dxa" w:w="3402"/>
            <w:vAlign w:val="center"/>
          </w:tcPr>
          <w:p>
            <w:r/>
            <w:r>
              <w:rPr>
                <w:rFonts w:ascii="Calibri" w:hAnsi="Calibri"/>
                <w:sz w:val="19"/>
              </w:rPr>
              <w:t>Pipeline, LOI, due diligence</w:t>
            </w:r>
          </w:p>
        </w:tc>
      </w:tr>
      <w:tr>
        <w:tc>
          <w:tcPr>
            <w:tcW w:type="dxa" w:w="2268"/>
            <w:shd w:val="clear" w:color="auto" w:fill="F4F6F9"/>
            <w:vAlign w:val="center"/>
          </w:tcPr>
          <w:p>
            <w:r/>
            <w:r>
              <w:rPr>
                <w:rFonts w:ascii="Calibri" w:hAnsi="Calibri"/>
                <w:sz w:val="19"/>
              </w:rPr>
              <w:t>M&amp;A originator (IT)</w:t>
            </w:r>
          </w:p>
        </w:tc>
        <w:tc>
          <w:tcPr>
            <w:tcW w:type="dxa" w:w="1417"/>
            <w:shd w:val="clear" w:color="auto" w:fill="F4F6F9"/>
            <w:vAlign w:val="center"/>
          </w:tcPr>
          <w:p>
            <w:r/>
            <w:r>
              <w:rPr>
                <w:rFonts w:ascii="Calibri" w:hAnsi="Calibri"/>
                <w:sz w:val="19"/>
              </w:rPr>
              <w:t>0.5 (Y2.5)</w:t>
            </w:r>
          </w:p>
        </w:tc>
        <w:tc>
          <w:tcPr>
            <w:tcW w:type="dxa" w:w="1701"/>
            <w:shd w:val="clear" w:color="auto" w:fill="F4F6F9"/>
            <w:vAlign w:val="center"/>
          </w:tcPr>
          <w:p>
            <w:r/>
            <w:r>
              <w:rPr>
                <w:rFonts w:ascii="Calibri" w:hAnsi="Calibri"/>
                <w:sz w:val="19"/>
              </w:rPr>
              <w:t>Milan</w:t>
            </w:r>
          </w:p>
        </w:tc>
        <w:tc>
          <w:tcPr>
            <w:tcW w:type="dxa" w:w="3402"/>
            <w:shd w:val="clear" w:color="auto" w:fill="F4F6F9"/>
            <w:vAlign w:val="center"/>
          </w:tcPr>
          <w:p>
            <w:r/>
            <w:r>
              <w:rPr>
                <w:rFonts w:ascii="Calibri" w:hAnsi="Calibri"/>
                <w:sz w:val="19"/>
              </w:rPr>
              <w:t>Hire after Series A closes</w:t>
            </w:r>
          </w:p>
        </w:tc>
      </w:tr>
      <w:tr>
        <w:tc>
          <w:tcPr>
            <w:tcW w:type="dxa" w:w="2268"/>
            <w:vAlign w:val="center"/>
          </w:tcPr>
          <w:p>
            <w:r/>
            <w:r>
              <w:rPr>
                <w:rFonts w:ascii="Calibri" w:hAnsi="Calibri"/>
                <w:sz w:val="19"/>
              </w:rPr>
              <w:t>Head of Integration</w:t>
            </w:r>
          </w:p>
        </w:tc>
        <w:tc>
          <w:tcPr>
            <w:tcW w:type="dxa" w:w="1417"/>
            <w:vAlign w:val="center"/>
          </w:tcPr>
          <w:p>
            <w:r/>
            <w:r>
              <w:rPr>
                <w:rFonts w:ascii="Calibri" w:hAnsi="Calibri"/>
                <w:sz w:val="19"/>
              </w:rPr>
              <w:t>1</w:t>
            </w:r>
          </w:p>
        </w:tc>
        <w:tc>
          <w:tcPr>
            <w:tcW w:type="dxa" w:w="1701"/>
            <w:vAlign w:val="center"/>
          </w:tcPr>
          <w:p>
            <w:r/>
            <w:r>
              <w:rPr>
                <w:rFonts w:ascii="Calibri" w:hAnsi="Calibri"/>
                <w:sz w:val="19"/>
              </w:rPr>
              <w:t>Warsaw</w:t>
            </w:r>
          </w:p>
        </w:tc>
        <w:tc>
          <w:tcPr>
            <w:tcW w:type="dxa" w:w="3402"/>
            <w:vAlign w:val="center"/>
          </w:tcPr>
          <w:p>
            <w:r/>
            <w:r>
              <w:rPr>
                <w:rFonts w:ascii="Calibri" w:hAnsi="Calibri"/>
                <w:sz w:val="19"/>
              </w:rPr>
              <w:t>Day 30 / 90 / 180 playbook</w:t>
            </w:r>
          </w:p>
        </w:tc>
      </w:tr>
      <w:tr>
        <w:tc>
          <w:tcPr>
            <w:tcW w:type="dxa" w:w="2268"/>
            <w:shd w:val="clear" w:color="auto" w:fill="F4F6F9"/>
            <w:vAlign w:val="center"/>
          </w:tcPr>
          <w:p>
            <w:r/>
            <w:r>
              <w:rPr>
                <w:rFonts w:ascii="Calibri" w:hAnsi="Calibri"/>
                <w:sz w:val="19"/>
              </w:rPr>
              <w:t>Head of AI / Product</w:t>
            </w:r>
          </w:p>
        </w:tc>
        <w:tc>
          <w:tcPr>
            <w:tcW w:type="dxa" w:w="1417"/>
            <w:shd w:val="clear" w:color="auto" w:fill="F4F6F9"/>
            <w:vAlign w:val="center"/>
          </w:tcPr>
          <w:p>
            <w:r/>
            <w:r>
              <w:rPr>
                <w:rFonts w:ascii="Calibri" w:hAnsi="Calibri"/>
                <w:sz w:val="19"/>
              </w:rPr>
              <w:t>1</w:t>
            </w:r>
          </w:p>
        </w:tc>
        <w:tc>
          <w:tcPr>
            <w:tcW w:type="dxa" w:w="1701"/>
            <w:shd w:val="clear" w:color="auto" w:fill="F4F6F9"/>
            <w:vAlign w:val="center"/>
          </w:tcPr>
          <w:p>
            <w:r/>
            <w:r>
              <w:rPr>
                <w:rFonts w:ascii="Calibri" w:hAnsi="Calibri"/>
                <w:sz w:val="19"/>
              </w:rPr>
              <w:t>Cyprus / remote</w:t>
            </w:r>
          </w:p>
        </w:tc>
        <w:tc>
          <w:tcPr>
            <w:tcW w:type="dxa" w:w="3402"/>
            <w:shd w:val="clear" w:color="auto" w:fill="F4F6F9"/>
            <w:vAlign w:val="center"/>
          </w:tcPr>
          <w:p>
            <w:r/>
            <w:r>
              <w:rPr>
                <w:rFonts w:ascii="Calibri" w:hAnsi="Calibri"/>
                <w:sz w:val="19"/>
              </w:rPr>
              <w:t>OCR, classification, dashboards</w:t>
            </w:r>
          </w:p>
        </w:tc>
      </w:tr>
      <w:tr>
        <w:tc>
          <w:tcPr>
            <w:tcW w:type="dxa" w:w="2268"/>
            <w:vAlign w:val="center"/>
          </w:tcPr>
          <w:p>
            <w:r/>
            <w:r>
              <w:rPr>
                <w:rFonts w:ascii="Calibri" w:hAnsi="Calibri"/>
                <w:sz w:val="19"/>
              </w:rPr>
              <w:t>AI engineers</w:t>
            </w:r>
          </w:p>
        </w:tc>
        <w:tc>
          <w:tcPr>
            <w:tcW w:type="dxa" w:w="1417"/>
            <w:vAlign w:val="center"/>
          </w:tcPr>
          <w:p>
            <w:r/>
            <w:r>
              <w:rPr>
                <w:rFonts w:ascii="Calibri" w:hAnsi="Calibri"/>
                <w:sz w:val="19"/>
              </w:rPr>
              <w:t>3</w:t>
            </w:r>
          </w:p>
        </w:tc>
        <w:tc>
          <w:tcPr>
            <w:tcW w:type="dxa" w:w="1701"/>
            <w:vAlign w:val="center"/>
          </w:tcPr>
          <w:p>
            <w:r/>
            <w:r>
              <w:rPr>
                <w:rFonts w:ascii="Calibri" w:hAnsi="Calibri"/>
                <w:sz w:val="19"/>
              </w:rPr>
              <w:t>Remote (EU)</w:t>
            </w:r>
          </w:p>
        </w:tc>
        <w:tc>
          <w:tcPr>
            <w:tcW w:type="dxa" w:w="3402"/>
            <w:vAlign w:val="center"/>
          </w:tcPr>
          <w:p>
            <w:r/>
            <w:r>
              <w:rPr>
                <w:rFonts w:ascii="Calibri" w:hAnsi="Calibri"/>
                <w:sz w:val="19"/>
              </w:rPr>
              <w:t>Build orchestration layer</w:t>
            </w:r>
          </w:p>
        </w:tc>
      </w:tr>
      <w:tr>
        <w:tc>
          <w:tcPr>
            <w:tcW w:type="dxa" w:w="2268"/>
            <w:shd w:val="clear" w:color="auto" w:fill="F4F6F9"/>
            <w:vAlign w:val="center"/>
          </w:tcPr>
          <w:p>
            <w:r/>
            <w:r>
              <w:rPr>
                <w:rFonts w:ascii="Calibri" w:hAnsi="Calibri"/>
                <w:sz w:val="19"/>
              </w:rPr>
              <w:t>Country MDs</w:t>
            </w:r>
          </w:p>
        </w:tc>
        <w:tc>
          <w:tcPr>
            <w:tcW w:type="dxa" w:w="1417"/>
            <w:shd w:val="clear" w:color="auto" w:fill="F4F6F9"/>
            <w:vAlign w:val="center"/>
          </w:tcPr>
          <w:p>
            <w:r/>
            <w:r>
              <w:rPr>
                <w:rFonts w:ascii="Calibri" w:hAnsi="Calibri"/>
                <w:sz w:val="19"/>
              </w:rPr>
              <w:t>2 (PL + CY)</w:t>
            </w:r>
          </w:p>
        </w:tc>
        <w:tc>
          <w:tcPr>
            <w:tcW w:type="dxa" w:w="1701"/>
            <w:shd w:val="clear" w:color="auto" w:fill="F4F6F9"/>
            <w:vAlign w:val="center"/>
          </w:tcPr>
          <w:p>
            <w:r/>
            <w:r>
              <w:rPr>
                <w:rFonts w:ascii="Calibri" w:hAnsi="Calibri"/>
                <w:sz w:val="19"/>
              </w:rPr>
              <w:t>Country offices</w:t>
            </w:r>
          </w:p>
        </w:tc>
        <w:tc>
          <w:tcPr>
            <w:tcW w:type="dxa" w:w="3402"/>
            <w:shd w:val="clear" w:color="auto" w:fill="F4F6F9"/>
            <w:vAlign w:val="center"/>
          </w:tcPr>
          <w:p>
            <w:r/>
            <w:r>
              <w:rPr>
                <w:rFonts w:ascii="Calibri" w:hAnsi="Calibri"/>
                <w:sz w:val="19"/>
              </w:rPr>
              <w:t>Run local P&amp;L, retain client books</w:t>
            </w:r>
          </w:p>
        </w:tc>
      </w:tr>
      <w:tr>
        <w:tc>
          <w:tcPr>
            <w:tcW w:type="dxa" w:w="2268"/>
            <w:vAlign w:val="center"/>
          </w:tcPr>
          <w:p>
            <w:r/>
            <w:r>
              <w:rPr>
                <w:rFonts w:ascii="Calibri" w:hAnsi="Calibri"/>
                <w:sz w:val="19"/>
              </w:rPr>
              <w:t>Acquired-practice staff</w:t>
            </w:r>
          </w:p>
        </w:tc>
        <w:tc>
          <w:tcPr>
            <w:tcW w:type="dxa" w:w="1417"/>
            <w:vAlign w:val="center"/>
          </w:tcPr>
          <w:p>
            <w:r/>
            <w:r>
              <w:rPr>
                <w:rFonts w:ascii="Calibri" w:hAnsi="Calibri"/>
                <w:sz w:val="19"/>
              </w:rPr>
              <w:t>~120 by Y2</w:t>
            </w:r>
          </w:p>
        </w:tc>
        <w:tc>
          <w:tcPr>
            <w:tcW w:type="dxa" w:w="1701"/>
            <w:vAlign w:val="center"/>
          </w:tcPr>
          <w:p>
            <w:r/>
            <w:r>
              <w:rPr>
                <w:rFonts w:ascii="Calibri" w:hAnsi="Calibri"/>
                <w:sz w:val="19"/>
              </w:rPr>
              <w:t>Across PL/CY/IT</w:t>
            </w:r>
          </w:p>
        </w:tc>
        <w:tc>
          <w:tcPr>
            <w:tcW w:type="dxa" w:w="3402"/>
            <w:vAlign w:val="center"/>
          </w:tcPr>
          <w:p>
            <w:r/>
            <w:r>
              <w:rPr>
                <w:rFonts w:ascii="Calibri" w:hAnsi="Calibri"/>
                <w:sz w:val="19"/>
              </w:rPr>
              <w:t>Inherited from deals</w:t>
            </w:r>
          </w:p>
        </w:tc>
      </w:tr>
    </w:tbl>
    <w:p>
      <w:pPr>
        <w:spacing w:before="280" w:after="80"/>
      </w:pPr>
      <w:r>
        <w:rPr>
          <w:rFonts w:ascii="Calibri" w:hAnsi="Calibri"/>
          <w:b/>
          <w:color w:val="1F3A5F"/>
          <w:sz w:val="28"/>
        </w:rPr>
        <w:t>5.3  Unit economics by acquired practice</w:t>
      </w:r>
    </w:p>
    <w:p>
      <w:pPr>
        <w:spacing w:after="80" w:line="300" w:lineRule="auto"/>
      </w:pPr>
      <w:r>
        <w:rPr>
          <w:rFonts w:ascii="Calibri" w:hAnsi="Calibri"/>
          <w:b w:val="0"/>
          <w:i w:val="0"/>
          <w:color w:val="101010"/>
          <w:sz w:val="21"/>
        </w:rPr>
        <w:t>Standard practice at acquisition: €1.8M revenue, 19% EBITDA margin = €342k EBITDA, 22 FTE.</w:t>
      </w:r>
    </w:p>
    <w:p>
      <w:pPr>
        <w:spacing w:after="80" w:line="300" w:lineRule="auto"/>
      </w:pPr>
      <w:r>
        <w:rPr>
          <w:rFonts w:ascii="Calibri" w:hAnsi="Calibri"/>
          <w:b w:val="0"/>
          <w:i w:val="0"/>
          <w:color w:val="101010"/>
          <w:sz w:val="21"/>
        </w:rPr>
        <w:t>After 12 months of AI overlay:</w:t>
      </w:r>
    </w:p>
    <w:p>
      <w:pPr>
        <w:pStyle w:val="ListBullet"/>
        <w:spacing w:after="40" w:line="288" w:lineRule="auto"/>
      </w:pPr>
      <w:r>
        <w:rPr>
          <w:rFonts w:ascii="Calibri" w:hAnsi="Calibri"/>
          <w:sz w:val="21"/>
        </w:rPr>
        <w:t>Revenue: +6–10% pricing uplift (premium pricing for AI-enabled service tier).</w:t>
      </w:r>
    </w:p>
    <w:p>
      <w:pPr>
        <w:pStyle w:val="ListBullet"/>
        <w:spacing w:after="40" w:line="288" w:lineRule="auto"/>
      </w:pPr>
      <w:r>
        <w:rPr>
          <w:rFonts w:ascii="Calibri" w:hAnsi="Calibri"/>
          <w:sz w:val="21"/>
        </w:rPr>
        <w:t>COGS: −18–24% from labor compression (junior bookkeeper hours down 60–70%, redeployed or attritioned).</w:t>
      </w:r>
    </w:p>
    <w:p>
      <w:pPr>
        <w:pStyle w:val="ListBullet"/>
        <w:spacing w:after="40" w:line="288" w:lineRule="auto"/>
      </w:pPr>
      <w:r>
        <w:rPr>
          <w:rFonts w:ascii="Calibri" w:hAnsi="Calibri"/>
          <w:sz w:val="21"/>
        </w:rPr>
        <w:t>EBITDA margin: 19% → 27–30% by end of Year 2 post-acquisition.</w:t>
      </w:r>
    </w:p>
    <w:p>
      <w:pPr>
        <w:pStyle w:val="ListBullet"/>
        <w:spacing w:after="40" w:line="288" w:lineRule="auto"/>
      </w:pPr>
      <w:r>
        <w:rPr>
          <w:rFonts w:ascii="Calibri" w:hAnsi="Calibri"/>
          <w:sz w:val="21"/>
        </w:rPr>
        <w:t>Net working capital: improved DSO (-5 to -10 days) from automated invoice chasing.</w:t>
      </w:r>
    </w:p>
    <w:p>
      <w:r>
        <w:br w:type="page"/>
      </w:r>
    </w:p>
    <w:p>
      <w:pPr>
        <w:spacing w:before="360" w:after="120"/>
      </w:pPr>
      <w:r>
        <w:rPr>
          <w:rFonts w:ascii="Calibri" w:hAnsi="Calibri"/>
          <w:b/>
          <w:color w:val="1F3A5F"/>
          <w:sz w:val="40"/>
        </w:rPr>
        <w:t>6. M&amp;A Playbook</w:t>
      </w:r>
    </w:p>
    <w:p>
      <w:pPr>
        <w:spacing w:before="280" w:after="80"/>
      </w:pPr>
      <w:r>
        <w:rPr>
          <w:rFonts w:ascii="Calibri" w:hAnsi="Calibri"/>
          <w:b/>
          <w:color w:val="1F3A5F"/>
          <w:sz w:val="28"/>
        </w:rPr>
        <w:t>6.1  Target screen</w:t>
      </w:r>
    </w:p>
    <w:p>
      <w:pPr>
        <w:spacing w:after="80" w:line="300" w:lineRule="auto"/>
      </w:pPr>
      <w:r>
        <w:rPr>
          <w:rFonts w:ascii="Calibri" w:hAnsi="Calibri"/>
          <w:b w:val="0"/>
          <w:i w:val="0"/>
          <w:color w:val="101010"/>
          <w:sz w:val="21"/>
        </w:rPr>
        <w:t>Hard filters (target must pass all):</w:t>
      </w:r>
    </w:p>
    <w:p>
      <w:pPr>
        <w:pStyle w:val="ListBullet"/>
        <w:spacing w:after="40" w:line="288" w:lineRule="auto"/>
      </w:pPr>
      <w:r>
        <w:rPr>
          <w:rFonts w:ascii="Calibri" w:hAnsi="Calibri"/>
          <w:sz w:val="21"/>
        </w:rPr>
        <w:t>€0.8M–€5M revenue (sweet spot €1.5–3M)</w:t>
      </w:r>
    </w:p>
    <w:p>
      <w:pPr>
        <w:pStyle w:val="ListBullet"/>
        <w:spacing w:after="40" w:line="288" w:lineRule="auto"/>
      </w:pPr>
      <w:r>
        <w:rPr>
          <w:rFonts w:ascii="Calibri" w:hAnsi="Calibri"/>
          <w:sz w:val="21"/>
        </w:rPr>
        <w:t>≥15% EBITDA margin LTM, ≥12% prior 2 years</w:t>
      </w:r>
    </w:p>
    <w:p>
      <w:pPr>
        <w:pStyle w:val="ListBullet"/>
        <w:spacing w:after="40" w:line="288" w:lineRule="auto"/>
      </w:pPr>
      <w:r>
        <w:rPr>
          <w:rFonts w:ascii="Calibri" w:hAnsi="Calibri"/>
          <w:sz w:val="21"/>
        </w:rPr>
        <w:t>&lt;10% customer concentration (no client &gt;10% of revenue)</w:t>
      </w:r>
    </w:p>
    <w:p>
      <w:pPr>
        <w:pStyle w:val="ListBullet"/>
        <w:spacing w:after="40" w:line="288" w:lineRule="auto"/>
      </w:pPr>
      <w:r>
        <w:rPr>
          <w:rFonts w:ascii="Calibri" w:hAnsi="Calibri"/>
          <w:sz w:val="21"/>
        </w:rPr>
        <w:t>&gt;80% recurring (monthly / quarterly) revenue, not project-based</w:t>
      </w:r>
    </w:p>
    <w:p>
      <w:pPr>
        <w:pStyle w:val="ListBullet"/>
        <w:spacing w:after="40" w:line="288" w:lineRule="auto"/>
      </w:pPr>
      <w:r>
        <w:rPr>
          <w:rFonts w:ascii="Calibri" w:hAnsi="Calibri"/>
          <w:sz w:val="21"/>
        </w:rPr>
        <w:t>Founder-led, 50+ years old OR succession-driven sale</w:t>
      </w:r>
    </w:p>
    <w:p>
      <w:pPr>
        <w:pStyle w:val="ListBullet"/>
        <w:spacing w:after="40" w:line="288" w:lineRule="auto"/>
      </w:pPr>
      <w:r>
        <w:rPr>
          <w:rFonts w:ascii="Calibri" w:hAnsi="Calibri"/>
          <w:sz w:val="21"/>
        </w:rPr>
        <w:t>Clean tax / legal record (no live disputes, no regulatory sanctions)</w:t>
      </w:r>
    </w:p>
    <w:p>
      <w:pPr>
        <w:pStyle w:val="ListBullet"/>
        <w:spacing w:after="40" w:line="288" w:lineRule="auto"/>
      </w:pPr>
      <w:r>
        <w:rPr>
          <w:rFonts w:ascii="Calibri" w:hAnsi="Calibri"/>
          <w:sz w:val="21"/>
        </w:rPr>
        <w:t>General-ledger / bookkeeping / payroll focus (NO statutory audit, NO pure tax advisory)</w:t>
      </w:r>
    </w:p>
    <w:p>
      <w:pPr>
        <w:spacing w:after="80" w:line="300" w:lineRule="auto"/>
      </w:pPr>
      <w:r>
        <w:rPr>
          <w:rFonts w:ascii="Calibri" w:hAnsi="Calibri"/>
          <w:b w:val="0"/>
          <w:i w:val="0"/>
          <w:color w:val="101010"/>
          <w:sz w:val="21"/>
        </w:rPr>
        <w:t>Soft preferences (boost score):</w:t>
      </w:r>
    </w:p>
    <w:p>
      <w:pPr>
        <w:pStyle w:val="ListBullet"/>
        <w:spacing w:after="40" w:line="288" w:lineRule="auto"/>
      </w:pPr>
      <w:r>
        <w:rPr>
          <w:rFonts w:ascii="Calibri" w:hAnsi="Calibri"/>
          <w:sz w:val="21"/>
        </w:rPr>
        <w:t>Already using cloud accounting (Comarch Optima, Fakturownia, TeamSystem Polyedro)</w:t>
      </w:r>
    </w:p>
    <w:p>
      <w:pPr>
        <w:pStyle w:val="ListBullet"/>
        <w:spacing w:after="40" w:line="288" w:lineRule="auto"/>
      </w:pPr>
      <w:r>
        <w:rPr>
          <w:rFonts w:ascii="Calibri" w:hAnsi="Calibri"/>
          <w:sz w:val="21"/>
        </w:rPr>
        <w:t>Multi-location practice with consolidated back office</w:t>
      </w:r>
    </w:p>
    <w:p>
      <w:pPr>
        <w:pStyle w:val="ListBullet"/>
        <w:spacing w:after="40" w:line="288" w:lineRule="auto"/>
      </w:pPr>
      <w:r>
        <w:rPr>
          <w:rFonts w:ascii="Calibri" w:hAnsi="Calibri"/>
          <w:sz w:val="21"/>
        </w:rPr>
        <w:t>Seller willing to stay 12–24 months as Country MD or senior advisor</w:t>
      </w:r>
    </w:p>
    <w:p>
      <w:pPr>
        <w:pStyle w:val="ListBullet"/>
        <w:spacing w:after="40" w:line="288" w:lineRule="auto"/>
      </w:pPr>
      <w:r>
        <w:rPr>
          <w:rFonts w:ascii="Calibri" w:hAnsi="Calibri"/>
          <w:sz w:val="21"/>
        </w:rPr>
        <w:t>Pre-existing relationships with banks / payroll providers / payment processors</w:t>
      </w:r>
    </w:p>
    <w:p>
      <w:pPr>
        <w:spacing w:before="280" w:after="80"/>
      </w:pPr>
      <w:r>
        <w:rPr>
          <w:rFonts w:ascii="Calibri" w:hAnsi="Calibri"/>
          <w:b/>
          <w:color w:val="1F3A5F"/>
          <w:sz w:val="28"/>
        </w:rPr>
        <w:t>6.2  Deal structure standard</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1984"/>
            <w:shd w:val="clear" w:color="auto" w:fill="1F3A5F"/>
            <w:vAlign w:val="center"/>
          </w:tcPr>
          <w:p>
            <w:r/>
            <w:r>
              <w:rPr>
                <w:rFonts w:ascii="Calibri" w:hAnsi="Calibri"/>
                <w:b/>
                <w:color w:val="FFFFFF"/>
                <w:sz w:val="20"/>
              </w:rPr>
              <w:t>Component</w:t>
            </w:r>
          </w:p>
        </w:tc>
        <w:tc>
          <w:tcPr>
            <w:tcW w:type="dxa" w:w="3118"/>
            <w:shd w:val="clear" w:color="auto" w:fill="1F3A5F"/>
            <w:vAlign w:val="center"/>
          </w:tcPr>
          <w:p>
            <w:r/>
            <w:r>
              <w:rPr>
                <w:rFonts w:ascii="Calibri" w:hAnsi="Calibri"/>
                <w:b/>
                <w:color w:val="FFFFFF"/>
                <w:sz w:val="20"/>
              </w:rPr>
              <w:t>Standard term</w:t>
            </w:r>
          </w:p>
        </w:tc>
        <w:tc>
          <w:tcPr>
            <w:tcW w:type="dxa" w:w="3685"/>
            <w:shd w:val="clear" w:color="auto" w:fill="1F3A5F"/>
            <w:vAlign w:val="center"/>
          </w:tcPr>
          <w:p>
            <w:r/>
            <w:r>
              <w:rPr>
                <w:rFonts w:ascii="Calibri" w:hAnsi="Calibri"/>
                <w:b/>
                <w:color w:val="FFFFFF"/>
                <w:sz w:val="20"/>
              </w:rPr>
              <w:t>Rationale</w:t>
            </w:r>
          </w:p>
        </w:tc>
      </w:tr>
      <w:tr>
        <w:tc>
          <w:tcPr>
            <w:tcW w:type="dxa" w:w="1984"/>
            <w:vAlign w:val="center"/>
          </w:tcPr>
          <w:p>
            <w:r/>
            <w:r>
              <w:rPr>
                <w:rFonts w:ascii="Calibri" w:hAnsi="Calibri"/>
                <w:sz w:val="19"/>
              </w:rPr>
              <w:t>Multiple</w:t>
            </w:r>
          </w:p>
        </w:tc>
        <w:tc>
          <w:tcPr>
            <w:tcW w:type="dxa" w:w="3118"/>
            <w:vAlign w:val="center"/>
          </w:tcPr>
          <w:p>
            <w:r/>
            <w:r>
              <w:rPr>
                <w:rFonts w:ascii="Calibri" w:hAnsi="Calibri"/>
                <w:sz w:val="19"/>
              </w:rPr>
              <w:t>3.5–4.5× LTM EBITDA</w:t>
            </w:r>
          </w:p>
        </w:tc>
        <w:tc>
          <w:tcPr>
            <w:tcW w:type="dxa" w:w="3685"/>
            <w:vAlign w:val="center"/>
          </w:tcPr>
          <w:p>
            <w:r/>
            <w:r>
              <w:rPr>
                <w:rFonts w:ascii="Calibri" w:hAnsi="Calibri"/>
                <w:sz w:val="19"/>
              </w:rPr>
              <w:t>Below Visma's €5M+ threshold</w:t>
            </w:r>
          </w:p>
        </w:tc>
      </w:tr>
      <w:tr>
        <w:tc>
          <w:tcPr>
            <w:tcW w:type="dxa" w:w="1984"/>
            <w:shd w:val="clear" w:color="auto" w:fill="F4F6F9"/>
            <w:vAlign w:val="center"/>
          </w:tcPr>
          <w:p>
            <w:r/>
            <w:r>
              <w:rPr>
                <w:rFonts w:ascii="Calibri" w:hAnsi="Calibri"/>
                <w:sz w:val="19"/>
              </w:rPr>
              <w:t>Cash at close</w:t>
            </w:r>
          </w:p>
        </w:tc>
        <w:tc>
          <w:tcPr>
            <w:tcW w:type="dxa" w:w="3118"/>
            <w:shd w:val="clear" w:color="auto" w:fill="F4F6F9"/>
            <w:vAlign w:val="center"/>
          </w:tcPr>
          <w:p>
            <w:r/>
            <w:r>
              <w:rPr>
                <w:rFonts w:ascii="Calibri" w:hAnsi="Calibri"/>
                <w:sz w:val="19"/>
              </w:rPr>
              <w:t>70–80% of EV</w:t>
            </w:r>
          </w:p>
        </w:tc>
        <w:tc>
          <w:tcPr>
            <w:tcW w:type="dxa" w:w="3685"/>
            <w:shd w:val="clear" w:color="auto" w:fill="F4F6F9"/>
            <w:vAlign w:val="center"/>
          </w:tcPr>
          <w:p>
            <w:r/>
            <w:r>
              <w:rPr>
                <w:rFonts w:ascii="Calibri" w:hAnsi="Calibri"/>
                <w:sz w:val="19"/>
              </w:rPr>
              <w:t>Concentrated payout</w:t>
            </w:r>
          </w:p>
        </w:tc>
      </w:tr>
      <w:tr>
        <w:tc>
          <w:tcPr>
            <w:tcW w:type="dxa" w:w="1984"/>
            <w:vAlign w:val="center"/>
          </w:tcPr>
          <w:p>
            <w:r/>
            <w:r>
              <w:rPr>
                <w:rFonts w:ascii="Calibri" w:hAnsi="Calibri"/>
                <w:sz w:val="19"/>
              </w:rPr>
              <w:t>Earnout</w:t>
            </w:r>
          </w:p>
        </w:tc>
        <w:tc>
          <w:tcPr>
            <w:tcW w:type="dxa" w:w="3118"/>
            <w:vAlign w:val="center"/>
          </w:tcPr>
          <w:p>
            <w:r/>
            <w:r>
              <w:rPr>
                <w:rFonts w:ascii="Calibri" w:hAnsi="Calibri"/>
                <w:sz w:val="19"/>
              </w:rPr>
              <w:t>20–30% over 24 months</w:t>
            </w:r>
          </w:p>
        </w:tc>
        <w:tc>
          <w:tcPr>
            <w:tcW w:type="dxa" w:w="3685"/>
            <w:vAlign w:val="center"/>
          </w:tcPr>
          <w:p>
            <w:r/>
            <w:r>
              <w:rPr>
                <w:rFonts w:ascii="Calibri" w:hAnsi="Calibri"/>
                <w:sz w:val="19"/>
              </w:rPr>
              <w:t>Aligned to revenue retention and gross margin</w:t>
            </w:r>
          </w:p>
        </w:tc>
      </w:tr>
      <w:tr>
        <w:tc>
          <w:tcPr>
            <w:tcW w:type="dxa" w:w="1984"/>
            <w:shd w:val="clear" w:color="auto" w:fill="F4F6F9"/>
            <w:vAlign w:val="center"/>
          </w:tcPr>
          <w:p>
            <w:r/>
            <w:r>
              <w:rPr>
                <w:rFonts w:ascii="Calibri" w:hAnsi="Calibri"/>
                <w:sz w:val="19"/>
              </w:rPr>
              <w:t>Seller stay</w:t>
            </w:r>
          </w:p>
        </w:tc>
        <w:tc>
          <w:tcPr>
            <w:tcW w:type="dxa" w:w="3118"/>
            <w:shd w:val="clear" w:color="auto" w:fill="F4F6F9"/>
            <w:vAlign w:val="center"/>
          </w:tcPr>
          <w:p>
            <w:r/>
            <w:r>
              <w:rPr>
                <w:rFonts w:ascii="Calibri" w:hAnsi="Calibri"/>
                <w:sz w:val="19"/>
              </w:rPr>
              <w:t>12–24 months</w:t>
            </w:r>
          </w:p>
        </w:tc>
        <w:tc>
          <w:tcPr>
            <w:tcW w:type="dxa" w:w="3685"/>
            <w:shd w:val="clear" w:color="auto" w:fill="F4F6F9"/>
            <w:vAlign w:val="center"/>
          </w:tcPr>
          <w:p>
            <w:r/>
            <w:r>
              <w:rPr>
                <w:rFonts w:ascii="Calibri" w:hAnsi="Calibri"/>
                <w:sz w:val="19"/>
              </w:rPr>
              <w:t>Retain key client relationships during integration</w:t>
            </w:r>
          </w:p>
        </w:tc>
      </w:tr>
      <w:tr>
        <w:tc>
          <w:tcPr>
            <w:tcW w:type="dxa" w:w="1984"/>
            <w:vAlign w:val="center"/>
          </w:tcPr>
          <w:p>
            <w:r/>
            <w:r>
              <w:rPr>
                <w:rFonts w:ascii="Calibri" w:hAnsi="Calibri"/>
                <w:sz w:val="19"/>
              </w:rPr>
              <w:t>Non-compete</w:t>
            </w:r>
          </w:p>
        </w:tc>
        <w:tc>
          <w:tcPr>
            <w:tcW w:type="dxa" w:w="3118"/>
            <w:vAlign w:val="center"/>
          </w:tcPr>
          <w:p>
            <w:r/>
            <w:r>
              <w:rPr>
                <w:rFonts w:ascii="Calibri" w:hAnsi="Calibri"/>
                <w:sz w:val="19"/>
              </w:rPr>
              <w:t>4 years, EU-wide</w:t>
            </w:r>
          </w:p>
        </w:tc>
        <w:tc>
          <w:tcPr>
            <w:tcW w:type="dxa" w:w="3685"/>
            <w:vAlign w:val="center"/>
          </w:tcPr>
          <w:p>
            <w:r/>
            <w:r>
              <w:rPr>
                <w:rFonts w:ascii="Calibri" w:hAnsi="Calibri"/>
                <w:sz w:val="19"/>
              </w:rPr>
              <w:t>Standard PE term</w:t>
            </w:r>
          </w:p>
        </w:tc>
      </w:tr>
      <w:tr>
        <w:tc>
          <w:tcPr>
            <w:tcW w:type="dxa" w:w="1984"/>
            <w:shd w:val="clear" w:color="auto" w:fill="F4F6F9"/>
            <w:vAlign w:val="center"/>
          </w:tcPr>
          <w:p>
            <w:r/>
            <w:r>
              <w:rPr>
                <w:rFonts w:ascii="Calibri" w:hAnsi="Calibri"/>
                <w:sz w:val="19"/>
              </w:rPr>
              <w:t>Working capital target</w:t>
            </w:r>
          </w:p>
        </w:tc>
        <w:tc>
          <w:tcPr>
            <w:tcW w:type="dxa" w:w="3118"/>
            <w:shd w:val="clear" w:color="auto" w:fill="F4F6F9"/>
            <w:vAlign w:val="center"/>
          </w:tcPr>
          <w:p>
            <w:r/>
            <w:r>
              <w:rPr>
                <w:rFonts w:ascii="Calibri" w:hAnsi="Calibri"/>
                <w:sz w:val="19"/>
              </w:rPr>
              <w:t>Normalized to 30-day median</w:t>
            </w:r>
          </w:p>
        </w:tc>
        <w:tc>
          <w:tcPr>
            <w:tcW w:type="dxa" w:w="3685"/>
            <w:shd w:val="clear" w:color="auto" w:fill="F4F6F9"/>
            <w:vAlign w:val="center"/>
          </w:tcPr>
          <w:p>
            <w:r/>
            <w:r>
              <w:rPr>
                <w:rFonts w:ascii="Calibri" w:hAnsi="Calibri"/>
                <w:sz w:val="19"/>
              </w:rPr>
              <w:t>Caps post-close adjustments</w:t>
            </w:r>
          </w:p>
        </w:tc>
      </w:tr>
      <w:tr>
        <w:tc>
          <w:tcPr>
            <w:tcW w:type="dxa" w:w="1984"/>
            <w:vAlign w:val="center"/>
          </w:tcPr>
          <w:p>
            <w:r/>
            <w:r>
              <w:rPr>
                <w:rFonts w:ascii="Calibri" w:hAnsi="Calibri"/>
                <w:sz w:val="19"/>
              </w:rPr>
              <w:t>Reps &amp; warranties</w:t>
            </w:r>
          </w:p>
        </w:tc>
        <w:tc>
          <w:tcPr>
            <w:tcW w:type="dxa" w:w="3118"/>
            <w:vAlign w:val="center"/>
          </w:tcPr>
          <w:p>
            <w:r/>
            <w:r>
              <w:rPr>
                <w:rFonts w:ascii="Calibri" w:hAnsi="Calibri"/>
                <w:sz w:val="19"/>
              </w:rPr>
              <w:t>12 months, capped at 20% EV</w:t>
            </w:r>
          </w:p>
        </w:tc>
        <w:tc>
          <w:tcPr>
            <w:tcW w:type="dxa" w:w="3685"/>
            <w:vAlign w:val="center"/>
          </w:tcPr>
          <w:p>
            <w:r/>
            <w:r>
              <w:rPr>
                <w:rFonts w:ascii="Calibri" w:hAnsi="Calibri"/>
                <w:sz w:val="19"/>
              </w:rPr>
              <w:t>Standard insurance-backed</w:t>
            </w:r>
          </w:p>
        </w:tc>
      </w:tr>
      <w:tr>
        <w:tc>
          <w:tcPr>
            <w:tcW w:type="dxa" w:w="1984"/>
            <w:shd w:val="clear" w:color="auto" w:fill="F4F6F9"/>
            <w:vAlign w:val="center"/>
          </w:tcPr>
          <w:p>
            <w:r/>
            <w:r>
              <w:rPr>
                <w:rFonts w:ascii="Calibri" w:hAnsi="Calibri"/>
                <w:sz w:val="19"/>
              </w:rPr>
              <w:t>Closing conditions</w:t>
            </w:r>
          </w:p>
        </w:tc>
        <w:tc>
          <w:tcPr>
            <w:tcW w:type="dxa" w:w="3118"/>
            <w:shd w:val="clear" w:color="auto" w:fill="F4F6F9"/>
            <w:vAlign w:val="center"/>
          </w:tcPr>
          <w:p>
            <w:r/>
            <w:r>
              <w:rPr>
                <w:rFonts w:ascii="Calibri" w:hAnsi="Calibri"/>
                <w:sz w:val="19"/>
              </w:rPr>
              <w:t>Top-5 client renewal certificates</w:t>
            </w:r>
          </w:p>
        </w:tc>
        <w:tc>
          <w:tcPr>
            <w:tcW w:type="dxa" w:w="3685"/>
            <w:shd w:val="clear" w:color="auto" w:fill="F4F6F9"/>
            <w:vAlign w:val="center"/>
          </w:tcPr>
          <w:p>
            <w:r/>
            <w:r>
              <w:rPr>
                <w:rFonts w:ascii="Calibri" w:hAnsi="Calibri"/>
                <w:sz w:val="19"/>
              </w:rPr>
              <w:t>Forces seller to retain core book</w:t>
            </w:r>
          </w:p>
        </w:tc>
      </w:tr>
    </w:tbl>
    <w:p>
      <w:pPr>
        <w:spacing w:before="280" w:after="80"/>
      </w:pPr>
      <w:r>
        <w:rPr>
          <w:rFonts w:ascii="Calibri" w:hAnsi="Calibri"/>
          <w:b/>
          <w:color w:val="1F3A5F"/>
          <w:sz w:val="28"/>
        </w:rPr>
        <w:t>6.3  Due diligence checklist</w:t>
      </w:r>
    </w:p>
    <w:p>
      <w:pPr>
        <w:spacing w:before="200" w:after="40"/>
      </w:pPr>
      <w:r>
        <w:rPr>
          <w:rFonts w:ascii="Calibri" w:hAnsi="Calibri"/>
          <w:b/>
          <w:color w:val="FF6B35"/>
          <w:sz w:val="23"/>
        </w:rPr>
        <w:t>Commercial DD</w:t>
      </w:r>
    </w:p>
    <w:p>
      <w:pPr>
        <w:pStyle w:val="ListBullet"/>
        <w:spacing w:after="40" w:line="288" w:lineRule="auto"/>
      </w:pPr>
      <w:r>
        <w:rPr>
          <w:rFonts w:ascii="Calibri" w:hAnsi="Calibri"/>
          <w:sz w:val="21"/>
        </w:rPr>
        <w:t>Top-20 client list with revenue + tenure + GM by client</w:t>
      </w:r>
    </w:p>
    <w:p>
      <w:pPr>
        <w:pStyle w:val="ListBullet"/>
        <w:spacing w:after="40" w:line="288" w:lineRule="auto"/>
      </w:pPr>
      <w:r>
        <w:rPr>
          <w:rFonts w:ascii="Calibri" w:hAnsi="Calibri"/>
          <w:sz w:val="21"/>
        </w:rPr>
        <w:t>Client churn analysis last 3 years</w:t>
      </w:r>
    </w:p>
    <w:p>
      <w:pPr>
        <w:pStyle w:val="ListBullet"/>
        <w:spacing w:after="40" w:line="288" w:lineRule="auto"/>
      </w:pPr>
      <w:r>
        <w:rPr>
          <w:rFonts w:ascii="Calibri" w:hAnsi="Calibri"/>
          <w:sz w:val="21"/>
        </w:rPr>
        <w:t>Pricing waterfall vs. local market</w:t>
      </w:r>
    </w:p>
    <w:p>
      <w:pPr>
        <w:pStyle w:val="ListBullet"/>
        <w:spacing w:after="40" w:line="288" w:lineRule="auto"/>
      </w:pPr>
      <w:r>
        <w:rPr>
          <w:rFonts w:ascii="Calibri" w:hAnsi="Calibri"/>
          <w:sz w:val="21"/>
        </w:rPr>
        <w:t>New-business pipeline + win rate</w:t>
      </w:r>
    </w:p>
    <w:p>
      <w:pPr>
        <w:spacing w:before="200" w:after="40"/>
      </w:pPr>
      <w:r>
        <w:rPr>
          <w:rFonts w:ascii="Calibri" w:hAnsi="Calibri"/>
          <w:b/>
          <w:color w:val="FF6B35"/>
          <w:sz w:val="23"/>
        </w:rPr>
        <w:t>Financial DD</w:t>
      </w:r>
    </w:p>
    <w:p>
      <w:pPr>
        <w:pStyle w:val="ListBullet"/>
        <w:spacing w:after="40" w:line="288" w:lineRule="auto"/>
      </w:pPr>
      <w:r>
        <w:rPr>
          <w:rFonts w:ascii="Calibri" w:hAnsi="Calibri"/>
          <w:sz w:val="21"/>
        </w:rPr>
        <w:t>Quality of earnings (last 3 years + LTM)</w:t>
      </w:r>
    </w:p>
    <w:p>
      <w:pPr>
        <w:pStyle w:val="ListBullet"/>
        <w:spacing w:after="40" w:line="288" w:lineRule="auto"/>
      </w:pPr>
      <w:r>
        <w:rPr>
          <w:rFonts w:ascii="Calibri" w:hAnsi="Calibri"/>
          <w:sz w:val="21"/>
        </w:rPr>
        <w:t>Working capital normalization</w:t>
      </w:r>
    </w:p>
    <w:p>
      <w:pPr>
        <w:pStyle w:val="ListBullet"/>
        <w:spacing w:after="40" w:line="288" w:lineRule="auto"/>
      </w:pPr>
      <w:r>
        <w:rPr>
          <w:rFonts w:ascii="Calibri" w:hAnsi="Calibri"/>
          <w:sz w:val="21"/>
        </w:rPr>
        <w:t>Off-balance-sheet items (leases, loans, related-party)</w:t>
      </w:r>
    </w:p>
    <w:p>
      <w:pPr>
        <w:pStyle w:val="ListBullet"/>
        <w:spacing w:after="40" w:line="288" w:lineRule="auto"/>
      </w:pPr>
      <w:r>
        <w:rPr>
          <w:rFonts w:ascii="Calibri" w:hAnsi="Calibri"/>
          <w:sz w:val="21"/>
        </w:rPr>
        <w:t>Tax position (open assessments, transfer pricing)</w:t>
      </w:r>
    </w:p>
    <w:p>
      <w:pPr>
        <w:spacing w:before="200" w:after="40"/>
      </w:pPr>
      <w:r>
        <w:rPr>
          <w:rFonts w:ascii="Calibri" w:hAnsi="Calibri"/>
          <w:b/>
          <w:color w:val="FF6B35"/>
          <w:sz w:val="23"/>
        </w:rPr>
        <w:t>Operational DD</w:t>
      </w:r>
    </w:p>
    <w:p>
      <w:pPr>
        <w:pStyle w:val="ListBullet"/>
        <w:spacing w:after="40" w:line="288" w:lineRule="auto"/>
      </w:pPr>
      <w:r>
        <w:rPr>
          <w:rFonts w:ascii="Calibri" w:hAnsi="Calibri"/>
          <w:sz w:val="21"/>
        </w:rPr>
        <w:t>Software stack and licensing terms</w:t>
      </w:r>
    </w:p>
    <w:p>
      <w:pPr>
        <w:pStyle w:val="ListBullet"/>
        <w:spacing w:after="40" w:line="288" w:lineRule="auto"/>
      </w:pPr>
      <w:r>
        <w:rPr>
          <w:rFonts w:ascii="Calibri" w:hAnsi="Calibri"/>
          <w:sz w:val="21"/>
        </w:rPr>
        <w:t>Process maturity (manual vs. automated entry %)</w:t>
      </w:r>
    </w:p>
    <w:p>
      <w:pPr>
        <w:pStyle w:val="ListBullet"/>
        <w:spacing w:after="40" w:line="288" w:lineRule="auto"/>
      </w:pPr>
      <w:r>
        <w:rPr>
          <w:rFonts w:ascii="Calibri" w:hAnsi="Calibri"/>
          <w:sz w:val="21"/>
        </w:rPr>
        <w:t>Staff skills inventory + retention risk</w:t>
      </w:r>
    </w:p>
    <w:p>
      <w:pPr>
        <w:pStyle w:val="ListBullet"/>
        <w:spacing w:after="40" w:line="288" w:lineRule="auto"/>
      </w:pPr>
      <w:r>
        <w:rPr>
          <w:rFonts w:ascii="Calibri" w:hAnsi="Calibri"/>
          <w:sz w:val="21"/>
        </w:rPr>
        <w:t>GDPR / data-protection compliance posture</w:t>
      </w:r>
    </w:p>
    <w:p>
      <w:pPr>
        <w:spacing w:before="200" w:after="40"/>
      </w:pPr>
      <w:r>
        <w:rPr>
          <w:rFonts w:ascii="Calibri" w:hAnsi="Calibri"/>
          <w:b/>
          <w:color w:val="FF6B35"/>
          <w:sz w:val="23"/>
        </w:rPr>
        <w:t>Legal DD</w:t>
      </w:r>
    </w:p>
    <w:p>
      <w:pPr>
        <w:pStyle w:val="ListBullet"/>
        <w:spacing w:after="40" w:line="288" w:lineRule="auto"/>
      </w:pPr>
      <w:r>
        <w:rPr>
          <w:rFonts w:ascii="Calibri" w:hAnsi="Calibri"/>
          <w:sz w:val="21"/>
        </w:rPr>
        <w:t>Corporate housekeeping (cap table, board minutes)</w:t>
      </w:r>
    </w:p>
    <w:p>
      <w:pPr>
        <w:pStyle w:val="ListBullet"/>
        <w:spacing w:after="40" w:line="288" w:lineRule="auto"/>
      </w:pPr>
      <w:r>
        <w:rPr>
          <w:rFonts w:ascii="Calibri" w:hAnsi="Calibri"/>
          <w:sz w:val="21"/>
        </w:rPr>
        <w:t>Material contracts (top-10 clients, key suppliers)</w:t>
      </w:r>
    </w:p>
    <w:p>
      <w:pPr>
        <w:pStyle w:val="ListBullet"/>
        <w:spacing w:after="40" w:line="288" w:lineRule="auto"/>
      </w:pPr>
      <w:r>
        <w:rPr>
          <w:rFonts w:ascii="Calibri" w:hAnsi="Calibri"/>
          <w:sz w:val="21"/>
        </w:rPr>
        <w:t>Litigation and threatened claims</w:t>
      </w:r>
    </w:p>
    <w:p>
      <w:pPr>
        <w:pStyle w:val="ListBullet"/>
        <w:spacing w:after="40" w:line="288" w:lineRule="auto"/>
      </w:pPr>
      <w:r>
        <w:rPr>
          <w:rFonts w:ascii="Calibri" w:hAnsi="Calibri"/>
          <w:sz w:val="21"/>
        </w:rPr>
        <w:t>Employment law (collective agreements, redundancy exposure)</w:t>
      </w:r>
    </w:p>
    <w:p>
      <w:pPr>
        <w:spacing w:before="280" w:after="80"/>
      </w:pPr>
      <w:r>
        <w:rPr>
          <w:rFonts w:ascii="Calibri" w:hAnsi="Calibri"/>
          <w:b/>
          <w:color w:val="1F3A5F"/>
          <w:sz w:val="28"/>
        </w:rPr>
        <w:t>6.4  Integration playbook — Day 30 / 90 / 180</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1417"/>
            <w:shd w:val="clear" w:color="auto" w:fill="1F3A5F"/>
            <w:vAlign w:val="center"/>
          </w:tcPr>
          <w:p>
            <w:r/>
            <w:r>
              <w:rPr>
                <w:rFonts w:ascii="Calibri" w:hAnsi="Calibri"/>
                <w:b/>
                <w:color w:val="FFFFFF"/>
                <w:sz w:val="20"/>
              </w:rPr>
              <w:t>Day</w:t>
            </w:r>
          </w:p>
        </w:tc>
        <w:tc>
          <w:tcPr>
            <w:tcW w:type="dxa" w:w="2835"/>
            <w:shd w:val="clear" w:color="auto" w:fill="1F3A5F"/>
            <w:vAlign w:val="center"/>
          </w:tcPr>
          <w:p>
            <w:r/>
            <w:r>
              <w:rPr>
                <w:rFonts w:ascii="Calibri" w:hAnsi="Calibri"/>
                <w:b/>
                <w:color w:val="FFFFFF"/>
                <w:sz w:val="20"/>
              </w:rPr>
              <w:t>Workstream</w:t>
            </w:r>
          </w:p>
        </w:tc>
        <w:tc>
          <w:tcPr>
            <w:tcW w:type="dxa" w:w="1701"/>
            <w:shd w:val="clear" w:color="auto" w:fill="1F3A5F"/>
            <w:vAlign w:val="center"/>
          </w:tcPr>
          <w:p>
            <w:r/>
            <w:r>
              <w:rPr>
                <w:rFonts w:ascii="Calibri" w:hAnsi="Calibri"/>
                <w:b/>
                <w:color w:val="FFFFFF"/>
                <w:sz w:val="20"/>
              </w:rPr>
              <w:t>Owner</w:t>
            </w:r>
          </w:p>
        </w:tc>
        <w:tc>
          <w:tcPr>
            <w:tcW w:type="dxa" w:w="2551"/>
            <w:shd w:val="clear" w:color="auto" w:fill="1F3A5F"/>
            <w:vAlign w:val="center"/>
          </w:tcPr>
          <w:p>
            <w:r/>
            <w:r>
              <w:rPr>
                <w:rFonts w:ascii="Calibri" w:hAnsi="Calibri"/>
                <w:b/>
                <w:color w:val="FFFFFF"/>
                <w:sz w:val="20"/>
              </w:rPr>
              <w:t>Output</w:t>
            </w:r>
          </w:p>
        </w:tc>
      </w:tr>
      <w:tr>
        <w:tc>
          <w:tcPr>
            <w:tcW w:type="dxa" w:w="1417"/>
            <w:vAlign w:val="center"/>
          </w:tcPr>
          <w:p>
            <w:r/>
            <w:r>
              <w:rPr>
                <w:rFonts w:ascii="Calibri" w:hAnsi="Calibri"/>
                <w:sz w:val="19"/>
              </w:rPr>
              <w:t>D-1 → D+7</w:t>
            </w:r>
          </w:p>
        </w:tc>
        <w:tc>
          <w:tcPr>
            <w:tcW w:type="dxa" w:w="2835"/>
            <w:vAlign w:val="center"/>
          </w:tcPr>
          <w:p>
            <w:r/>
            <w:r>
              <w:rPr>
                <w:rFonts w:ascii="Calibri" w:hAnsi="Calibri"/>
                <w:sz w:val="19"/>
              </w:rPr>
              <w:t>Welcome week — comms to staff, clients, suppliers</w:t>
            </w:r>
          </w:p>
        </w:tc>
        <w:tc>
          <w:tcPr>
            <w:tcW w:type="dxa" w:w="1701"/>
            <w:vAlign w:val="center"/>
          </w:tcPr>
          <w:p>
            <w:r/>
            <w:r>
              <w:rPr>
                <w:rFonts w:ascii="Calibri" w:hAnsi="Calibri"/>
                <w:sz w:val="19"/>
              </w:rPr>
              <w:t>Country MD</w:t>
            </w:r>
          </w:p>
        </w:tc>
        <w:tc>
          <w:tcPr>
            <w:tcW w:type="dxa" w:w="2551"/>
            <w:vAlign w:val="center"/>
          </w:tcPr>
          <w:p>
            <w:r/>
            <w:r>
              <w:rPr>
                <w:rFonts w:ascii="Calibri" w:hAnsi="Calibri"/>
                <w:sz w:val="19"/>
              </w:rPr>
              <w:t>Retention message landed</w:t>
            </w:r>
          </w:p>
        </w:tc>
      </w:tr>
      <w:tr>
        <w:tc>
          <w:tcPr>
            <w:tcW w:type="dxa" w:w="1417"/>
            <w:shd w:val="clear" w:color="auto" w:fill="F4F6F9"/>
            <w:vAlign w:val="center"/>
          </w:tcPr>
          <w:p>
            <w:r/>
            <w:r>
              <w:rPr>
                <w:rFonts w:ascii="Calibri" w:hAnsi="Calibri"/>
                <w:sz w:val="19"/>
              </w:rPr>
              <w:t>D+30</w:t>
            </w:r>
          </w:p>
        </w:tc>
        <w:tc>
          <w:tcPr>
            <w:tcW w:type="dxa" w:w="2835"/>
            <w:shd w:val="clear" w:color="auto" w:fill="F4F6F9"/>
            <w:vAlign w:val="center"/>
          </w:tcPr>
          <w:p>
            <w:r/>
            <w:r>
              <w:rPr>
                <w:rFonts w:ascii="Calibri" w:hAnsi="Calibri"/>
                <w:sz w:val="19"/>
              </w:rPr>
              <w:t>Finance integration — chart of accounts mapped, monthly close cadence aligned</w:t>
            </w:r>
          </w:p>
        </w:tc>
        <w:tc>
          <w:tcPr>
            <w:tcW w:type="dxa" w:w="1701"/>
            <w:shd w:val="clear" w:color="auto" w:fill="F4F6F9"/>
            <w:vAlign w:val="center"/>
          </w:tcPr>
          <w:p>
            <w:r/>
            <w:r>
              <w:rPr>
                <w:rFonts w:ascii="Calibri" w:hAnsi="Calibri"/>
                <w:sz w:val="19"/>
              </w:rPr>
              <w:t>Group CFO</w:t>
            </w:r>
          </w:p>
        </w:tc>
        <w:tc>
          <w:tcPr>
            <w:tcW w:type="dxa" w:w="2551"/>
            <w:shd w:val="clear" w:color="auto" w:fill="F4F6F9"/>
            <w:vAlign w:val="center"/>
          </w:tcPr>
          <w:p>
            <w:r/>
            <w:r>
              <w:rPr>
                <w:rFonts w:ascii="Calibri" w:hAnsi="Calibri"/>
                <w:sz w:val="19"/>
              </w:rPr>
              <w:t>First consolidated close</w:t>
            </w:r>
          </w:p>
        </w:tc>
      </w:tr>
      <w:tr>
        <w:tc>
          <w:tcPr>
            <w:tcW w:type="dxa" w:w="1417"/>
            <w:vAlign w:val="center"/>
          </w:tcPr>
          <w:p>
            <w:r/>
            <w:r>
              <w:rPr>
                <w:rFonts w:ascii="Calibri" w:hAnsi="Calibri"/>
                <w:sz w:val="19"/>
              </w:rPr>
              <w:t>D+30</w:t>
            </w:r>
          </w:p>
        </w:tc>
        <w:tc>
          <w:tcPr>
            <w:tcW w:type="dxa" w:w="2835"/>
            <w:vAlign w:val="center"/>
          </w:tcPr>
          <w:p>
            <w:r/>
            <w:r>
              <w:rPr>
                <w:rFonts w:ascii="Calibri" w:hAnsi="Calibri"/>
                <w:sz w:val="19"/>
              </w:rPr>
              <w:t>HR baseline — comp benchmarking, retention plan top-10 talent</w:t>
            </w:r>
          </w:p>
        </w:tc>
        <w:tc>
          <w:tcPr>
            <w:tcW w:type="dxa" w:w="1701"/>
            <w:vAlign w:val="center"/>
          </w:tcPr>
          <w:p>
            <w:r/>
            <w:r>
              <w:rPr>
                <w:rFonts w:ascii="Calibri" w:hAnsi="Calibri"/>
                <w:sz w:val="19"/>
              </w:rPr>
              <w:t>HR / Country MD</w:t>
            </w:r>
          </w:p>
        </w:tc>
        <w:tc>
          <w:tcPr>
            <w:tcW w:type="dxa" w:w="2551"/>
            <w:vAlign w:val="center"/>
          </w:tcPr>
          <w:p>
            <w:r/>
            <w:r>
              <w:rPr>
                <w:rFonts w:ascii="Calibri" w:hAnsi="Calibri"/>
                <w:sz w:val="19"/>
              </w:rPr>
              <w:t>Talent retention list</w:t>
            </w:r>
          </w:p>
        </w:tc>
      </w:tr>
      <w:tr>
        <w:tc>
          <w:tcPr>
            <w:tcW w:type="dxa" w:w="1417"/>
            <w:shd w:val="clear" w:color="auto" w:fill="F4F6F9"/>
            <w:vAlign w:val="center"/>
          </w:tcPr>
          <w:p>
            <w:r/>
            <w:r>
              <w:rPr>
                <w:rFonts w:ascii="Calibri" w:hAnsi="Calibri"/>
                <w:sz w:val="19"/>
              </w:rPr>
              <w:t>D+60</w:t>
            </w:r>
          </w:p>
        </w:tc>
        <w:tc>
          <w:tcPr>
            <w:tcW w:type="dxa" w:w="2835"/>
            <w:shd w:val="clear" w:color="auto" w:fill="F4F6F9"/>
            <w:vAlign w:val="center"/>
          </w:tcPr>
          <w:p>
            <w:r/>
            <w:r>
              <w:rPr>
                <w:rFonts w:ascii="Calibri" w:hAnsi="Calibri"/>
                <w:sz w:val="19"/>
              </w:rPr>
              <w:t>AI overlay phase 1 — OCR + categorization deployed on 1 client pilot</w:t>
            </w:r>
          </w:p>
        </w:tc>
        <w:tc>
          <w:tcPr>
            <w:tcW w:type="dxa" w:w="1701"/>
            <w:shd w:val="clear" w:color="auto" w:fill="F4F6F9"/>
            <w:vAlign w:val="center"/>
          </w:tcPr>
          <w:p>
            <w:r/>
            <w:r>
              <w:rPr>
                <w:rFonts w:ascii="Calibri" w:hAnsi="Calibri"/>
                <w:sz w:val="19"/>
              </w:rPr>
              <w:t>Head of AI</w:t>
            </w:r>
          </w:p>
        </w:tc>
        <w:tc>
          <w:tcPr>
            <w:tcW w:type="dxa" w:w="2551"/>
            <w:shd w:val="clear" w:color="auto" w:fill="F4F6F9"/>
            <w:vAlign w:val="center"/>
          </w:tcPr>
          <w:p>
            <w:r/>
            <w:r>
              <w:rPr>
                <w:rFonts w:ascii="Calibri" w:hAnsi="Calibri"/>
                <w:sz w:val="19"/>
              </w:rPr>
              <w:t>70% auto-class. rate</w:t>
            </w:r>
          </w:p>
        </w:tc>
      </w:tr>
      <w:tr>
        <w:tc>
          <w:tcPr>
            <w:tcW w:type="dxa" w:w="1417"/>
            <w:vAlign w:val="center"/>
          </w:tcPr>
          <w:p>
            <w:r/>
            <w:r>
              <w:rPr>
                <w:rFonts w:ascii="Calibri" w:hAnsi="Calibri"/>
                <w:sz w:val="19"/>
              </w:rPr>
              <w:t>D+90</w:t>
            </w:r>
          </w:p>
        </w:tc>
        <w:tc>
          <w:tcPr>
            <w:tcW w:type="dxa" w:w="2835"/>
            <w:vAlign w:val="center"/>
          </w:tcPr>
          <w:p>
            <w:r/>
            <w:r>
              <w:rPr>
                <w:rFonts w:ascii="Calibri" w:hAnsi="Calibri"/>
                <w:sz w:val="19"/>
              </w:rPr>
              <w:t>AI overlay phase 2 — bank feed + auto-reconciliation across book</w:t>
            </w:r>
          </w:p>
        </w:tc>
        <w:tc>
          <w:tcPr>
            <w:tcW w:type="dxa" w:w="1701"/>
            <w:vAlign w:val="center"/>
          </w:tcPr>
          <w:p>
            <w:r/>
            <w:r>
              <w:rPr>
                <w:rFonts w:ascii="Calibri" w:hAnsi="Calibri"/>
                <w:sz w:val="19"/>
              </w:rPr>
              <w:t>Head of AI</w:t>
            </w:r>
          </w:p>
        </w:tc>
        <w:tc>
          <w:tcPr>
            <w:tcW w:type="dxa" w:w="2551"/>
            <w:vAlign w:val="center"/>
          </w:tcPr>
          <w:p>
            <w:r/>
            <w:r>
              <w:rPr>
                <w:rFonts w:ascii="Calibri" w:hAnsi="Calibri"/>
                <w:sz w:val="19"/>
              </w:rPr>
              <w:t>Book-wide deploy</w:t>
            </w:r>
          </w:p>
        </w:tc>
      </w:tr>
      <w:tr>
        <w:tc>
          <w:tcPr>
            <w:tcW w:type="dxa" w:w="1417"/>
            <w:shd w:val="clear" w:color="auto" w:fill="F4F6F9"/>
            <w:vAlign w:val="center"/>
          </w:tcPr>
          <w:p>
            <w:r/>
            <w:r>
              <w:rPr>
                <w:rFonts w:ascii="Calibri" w:hAnsi="Calibri"/>
                <w:sz w:val="19"/>
              </w:rPr>
              <w:t>D+90</w:t>
            </w:r>
          </w:p>
        </w:tc>
        <w:tc>
          <w:tcPr>
            <w:tcW w:type="dxa" w:w="2835"/>
            <w:shd w:val="clear" w:color="auto" w:fill="F4F6F9"/>
            <w:vAlign w:val="center"/>
          </w:tcPr>
          <w:p>
            <w:r/>
            <w:r>
              <w:rPr>
                <w:rFonts w:ascii="Calibri" w:hAnsi="Calibri"/>
                <w:sz w:val="19"/>
              </w:rPr>
              <w:t>Pricing review — premium AI-tier launched to top-20 clients</w:t>
            </w:r>
          </w:p>
        </w:tc>
        <w:tc>
          <w:tcPr>
            <w:tcW w:type="dxa" w:w="1701"/>
            <w:shd w:val="clear" w:color="auto" w:fill="F4F6F9"/>
            <w:vAlign w:val="center"/>
          </w:tcPr>
          <w:p>
            <w:r/>
            <w:r>
              <w:rPr>
                <w:rFonts w:ascii="Calibri" w:hAnsi="Calibri"/>
                <w:sz w:val="19"/>
              </w:rPr>
              <w:t>Country MD</w:t>
            </w:r>
          </w:p>
        </w:tc>
        <w:tc>
          <w:tcPr>
            <w:tcW w:type="dxa" w:w="2551"/>
            <w:shd w:val="clear" w:color="auto" w:fill="F4F6F9"/>
            <w:vAlign w:val="center"/>
          </w:tcPr>
          <w:p>
            <w:r/>
            <w:r>
              <w:rPr>
                <w:rFonts w:ascii="Calibri" w:hAnsi="Calibri"/>
                <w:sz w:val="19"/>
              </w:rPr>
              <w:t>Price uplift booked</w:t>
            </w:r>
          </w:p>
        </w:tc>
      </w:tr>
      <w:tr>
        <w:tc>
          <w:tcPr>
            <w:tcW w:type="dxa" w:w="1417"/>
            <w:vAlign w:val="center"/>
          </w:tcPr>
          <w:p>
            <w:r/>
            <w:r>
              <w:rPr>
                <w:rFonts w:ascii="Calibri" w:hAnsi="Calibri"/>
                <w:sz w:val="19"/>
              </w:rPr>
              <w:t>D+120</w:t>
            </w:r>
          </w:p>
        </w:tc>
        <w:tc>
          <w:tcPr>
            <w:tcW w:type="dxa" w:w="2835"/>
            <w:vAlign w:val="center"/>
          </w:tcPr>
          <w:p>
            <w:r/>
            <w:r>
              <w:rPr>
                <w:rFonts w:ascii="Calibri" w:hAnsi="Calibri"/>
                <w:sz w:val="19"/>
              </w:rPr>
              <w:t>Process redesign — staff redeployed from data entry to advisory</w:t>
            </w:r>
          </w:p>
        </w:tc>
        <w:tc>
          <w:tcPr>
            <w:tcW w:type="dxa" w:w="1701"/>
            <w:vAlign w:val="center"/>
          </w:tcPr>
          <w:p>
            <w:r/>
            <w:r>
              <w:rPr>
                <w:rFonts w:ascii="Calibri" w:hAnsi="Calibri"/>
                <w:sz w:val="19"/>
              </w:rPr>
              <w:t>Head of Integration</w:t>
            </w:r>
          </w:p>
        </w:tc>
        <w:tc>
          <w:tcPr>
            <w:tcW w:type="dxa" w:w="2551"/>
            <w:vAlign w:val="center"/>
          </w:tcPr>
          <w:p>
            <w:r/>
            <w:r>
              <w:rPr>
                <w:rFonts w:ascii="Calibri" w:hAnsi="Calibri"/>
                <w:sz w:val="19"/>
              </w:rPr>
              <w:t>Headcount plan locked</w:t>
            </w:r>
          </w:p>
        </w:tc>
      </w:tr>
      <w:tr>
        <w:tc>
          <w:tcPr>
            <w:tcW w:type="dxa" w:w="1417"/>
            <w:shd w:val="clear" w:color="auto" w:fill="F4F6F9"/>
            <w:vAlign w:val="center"/>
          </w:tcPr>
          <w:p>
            <w:r/>
            <w:r>
              <w:rPr>
                <w:rFonts w:ascii="Calibri" w:hAnsi="Calibri"/>
                <w:sz w:val="19"/>
              </w:rPr>
              <w:t>D+180</w:t>
            </w:r>
          </w:p>
        </w:tc>
        <w:tc>
          <w:tcPr>
            <w:tcW w:type="dxa" w:w="2835"/>
            <w:shd w:val="clear" w:color="auto" w:fill="F4F6F9"/>
            <w:vAlign w:val="center"/>
          </w:tcPr>
          <w:p>
            <w:r/>
            <w:r>
              <w:rPr>
                <w:rFonts w:ascii="Calibri" w:hAnsi="Calibri"/>
                <w:sz w:val="19"/>
              </w:rPr>
              <w:t>Platform decision — keep brand, migrate book to Ledger platform Y2</w:t>
            </w:r>
          </w:p>
        </w:tc>
        <w:tc>
          <w:tcPr>
            <w:tcW w:type="dxa" w:w="1701"/>
            <w:shd w:val="clear" w:color="auto" w:fill="F4F6F9"/>
            <w:vAlign w:val="center"/>
          </w:tcPr>
          <w:p>
            <w:r/>
            <w:r>
              <w:rPr>
                <w:rFonts w:ascii="Calibri" w:hAnsi="Calibri"/>
                <w:sz w:val="19"/>
              </w:rPr>
              <w:t>Group CEO</w:t>
            </w:r>
          </w:p>
        </w:tc>
        <w:tc>
          <w:tcPr>
            <w:tcW w:type="dxa" w:w="2551"/>
            <w:shd w:val="clear" w:color="auto" w:fill="F4F6F9"/>
            <w:vAlign w:val="center"/>
          </w:tcPr>
          <w:p>
            <w:r/>
            <w:r>
              <w:rPr>
                <w:rFonts w:ascii="Calibri" w:hAnsi="Calibri"/>
                <w:sz w:val="19"/>
              </w:rPr>
              <w:t>Migration roadmap</w:t>
            </w:r>
          </w:p>
        </w:tc>
      </w:tr>
    </w:tbl>
    <w:p>
      <w:r>
        <w:br w:type="page"/>
      </w:r>
    </w:p>
    <w:p>
      <w:pPr>
        <w:spacing w:before="360" w:after="120"/>
      </w:pPr>
      <w:r>
        <w:rPr>
          <w:rFonts w:ascii="Calibri" w:hAnsi="Calibri"/>
          <w:b/>
          <w:color w:val="1F3A5F"/>
          <w:sz w:val="40"/>
        </w:rPr>
        <w:t>7. Software &amp; Technology Stack</w:t>
      </w:r>
    </w:p>
    <w:p>
      <w:pPr>
        <w:spacing w:before="280" w:after="80"/>
      </w:pPr>
      <w:r>
        <w:rPr>
          <w:rFonts w:ascii="Calibri" w:hAnsi="Calibri"/>
          <w:b/>
          <w:color w:val="1F3A5F"/>
          <w:sz w:val="28"/>
        </w:rPr>
        <w:t>7.1  Stack architecture</w:t>
      </w:r>
    </w:p>
    <w:p>
      <w:pPr>
        <w:spacing w:after="80" w:line="300" w:lineRule="auto"/>
      </w:pPr>
      <w:r>
        <w:rPr>
          <w:rFonts w:ascii="Calibri" w:hAnsi="Calibri"/>
          <w:b w:val="0"/>
          <w:i w:val="0"/>
          <w:color w:val="101010"/>
          <w:sz w:val="21"/>
        </w:rPr>
        <w:t>Three layers: (1) host accounting platforms inherited from each acquired practice; (2) Ledger AI overlay — the thin orchestration layer we own; (3) group BI + consolidation.</w:t>
      </w:r>
    </w:p>
    <w:p>
      <w:pPr>
        <w:spacing w:before="280" w:after="80"/>
      </w:pPr>
      <w:r>
        <w:rPr>
          <w:rFonts w:ascii="Calibri" w:hAnsi="Calibri"/>
          <w:b/>
          <w:color w:val="1F3A5F"/>
          <w:sz w:val="28"/>
        </w:rPr>
        <w:t>7.2  Vendor list by category</w:t>
      </w:r>
    </w:p>
    <w:p>
      <w:pPr>
        <w:spacing w:before="200" w:after="40"/>
      </w:pPr>
      <w:r>
        <w:rPr>
          <w:rFonts w:ascii="Calibri" w:hAnsi="Calibri"/>
          <w:b/>
          <w:color w:val="FF6B35"/>
          <w:sz w:val="23"/>
        </w:rPr>
        <w:t>Accounting platforms (per geography)</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1417"/>
            <w:shd w:val="clear" w:color="auto" w:fill="1F3A5F"/>
            <w:vAlign w:val="center"/>
          </w:tcPr>
          <w:p>
            <w:r/>
            <w:r>
              <w:rPr>
                <w:rFonts w:ascii="Calibri" w:hAnsi="Calibri"/>
                <w:b/>
                <w:color w:val="FFFFFF"/>
                <w:sz w:val="20"/>
              </w:rPr>
              <w:t>Country</w:t>
            </w:r>
          </w:p>
        </w:tc>
        <w:tc>
          <w:tcPr>
            <w:tcW w:type="dxa" w:w="1984"/>
            <w:shd w:val="clear" w:color="auto" w:fill="1F3A5F"/>
            <w:vAlign w:val="center"/>
          </w:tcPr>
          <w:p>
            <w:r/>
            <w:r>
              <w:rPr>
                <w:rFonts w:ascii="Calibri" w:hAnsi="Calibri"/>
                <w:b/>
                <w:color w:val="FFFFFF"/>
                <w:sz w:val="20"/>
              </w:rPr>
              <w:t>Primary host</w:t>
            </w:r>
          </w:p>
        </w:tc>
        <w:tc>
          <w:tcPr>
            <w:tcW w:type="dxa" w:w="2551"/>
            <w:shd w:val="clear" w:color="auto" w:fill="1F3A5F"/>
            <w:vAlign w:val="center"/>
          </w:tcPr>
          <w:p>
            <w:r/>
            <w:r>
              <w:rPr>
                <w:rFonts w:ascii="Calibri" w:hAnsi="Calibri"/>
                <w:b/>
                <w:color w:val="FFFFFF"/>
                <w:sz w:val="20"/>
              </w:rPr>
              <w:t>Alternates</w:t>
            </w:r>
          </w:p>
        </w:tc>
        <w:tc>
          <w:tcPr>
            <w:tcW w:type="dxa" w:w="2835"/>
            <w:shd w:val="clear" w:color="auto" w:fill="1F3A5F"/>
            <w:vAlign w:val="center"/>
          </w:tcPr>
          <w:p>
            <w:r/>
            <w:r>
              <w:rPr>
                <w:rFonts w:ascii="Calibri" w:hAnsi="Calibri"/>
                <w:b/>
                <w:color w:val="FFFFFF"/>
                <w:sz w:val="20"/>
              </w:rPr>
              <w:t>Notes</w:t>
            </w:r>
          </w:p>
        </w:tc>
      </w:tr>
      <w:tr>
        <w:tc>
          <w:tcPr>
            <w:tcW w:type="dxa" w:w="1417"/>
            <w:vAlign w:val="center"/>
          </w:tcPr>
          <w:p>
            <w:r/>
            <w:r>
              <w:rPr>
                <w:rFonts w:ascii="Calibri" w:hAnsi="Calibri"/>
                <w:sz w:val="19"/>
              </w:rPr>
              <w:t>Poland</w:t>
            </w:r>
          </w:p>
        </w:tc>
        <w:tc>
          <w:tcPr>
            <w:tcW w:type="dxa" w:w="1984"/>
            <w:vAlign w:val="center"/>
          </w:tcPr>
          <w:p>
            <w:r/>
            <w:r>
              <w:rPr>
                <w:rFonts w:ascii="Calibri" w:hAnsi="Calibri"/>
                <w:sz w:val="19"/>
              </w:rPr>
              <w:t>Comarch Optima</w:t>
            </w:r>
          </w:p>
        </w:tc>
        <w:tc>
          <w:tcPr>
            <w:tcW w:type="dxa" w:w="2551"/>
            <w:vAlign w:val="center"/>
          </w:tcPr>
          <w:p>
            <w:r/>
            <w:r>
              <w:rPr>
                <w:rFonts w:ascii="Calibri" w:hAnsi="Calibri"/>
                <w:sz w:val="19"/>
              </w:rPr>
              <w:t>Fakturownia, iFirma, Symfonia</w:t>
            </w:r>
          </w:p>
        </w:tc>
        <w:tc>
          <w:tcPr>
            <w:tcW w:type="dxa" w:w="2835"/>
            <w:vAlign w:val="center"/>
          </w:tcPr>
          <w:p>
            <w:r/>
            <w:r>
              <w:rPr>
                <w:rFonts w:ascii="Calibri" w:hAnsi="Calibri"/>
                <w:sz w:val="19"/>
              </w:rPr>
              <w:t>Comarch supports KSeF natively</w:t>
            </w:r>
          </w:p>
        </w:tc>
      </w:tr>
      <w:tr>
        <w:tc>
          <w:tcPr>
            <w:tcW w:type="dxa" w:w="1417"/>
            <w:shd w:val="clear" w:color="auto" w:fill="F4F6F9"/>
            <w:vAlign w:val="center"/>
          </w:tcPr>
          <w:p>
            <w:r/>
            <w:r>
              <w:rPr>
                <w:rFonts w:ascii="Calibri" w:hAnsi="Calibri"/>
                <w:sz w:val="19"/>
              </w:rPr>
              <w:t>Italy</w:t>
            </w:r>
          </w:p>
        </w:tc>
        <w:tc>
          <w:tcPr>
            <w:tcW w:type="dxa" w:w="1984"/>
            <w:shd w:val="clear" w:color="auto" w:fill="F4F6F9"/>
            <w:vAlign w:val="center"/>
          </w:tcPr>
          <w:p>
            <w:r/>
            <w:r>
              <w:rPr>
                <w:rFonts w:ascii="Calibri" w:hAnsi="Calibri"/>
                <w:sz w:val="19"/>
              </w:rPr>
              <w:t>TeamSystem Polyedro</w:t>
            </w:r>
          </w:p>
        </w:tc>
        <w:tc>
          <w:tcPr>
            <w:tcW w:type="dxa" w:w="2551"/>
            <w:shd w:val="clear" w:color="auto" w:fill="F4F6F9"/>
            <w:vAlign w:val="center"/>
          </w:tcPr>
          <w:p>
            <w:r/>
            <w:r>
              <w:rPr>
                <w:rFonts w:ascii="Calibri" w:hAnsi="Calibri"/>
                <w:sz w:val="19"/>
              </w:rPr>
              <w:t>Zucchetti, Fiscozen, Aruba</w:t>
            </w:r>
          </w:p>
        </w:tc>
        <w:tc>
          <w:tcPr>
            <w:tcW w:type="dxa" w:w="2835"/>
            <w:shd w:val="clear" w:color="auto" w:fill="F4F6F9"/>
            <w:vAlign w:val="center"/>
          </w:tcPr>
          <w:p>
            <w:r/>
            <w:r>
              <w:rPr>
                <w:rFonts w:ascii="Calibri" w:hAnsi="Calibri"/>
                <w:sz w:val="19"/>
              </w:rPr>
              <w:t>TeamSystem dominant in north</w:t>
            </w:r>
          </w:p>
        </w:tc>
      </w:tr>
      <w:tr>
        <w:tc>
          <w:tcPr>
            <w:tcW w:type="dxa" w:w="1417"/>
            <w:vAlign w:val="center"/>
          </w:tcPr>
          <w:p>
            <w:r/>
            <w:r>
              <w:rPr>
                <w:rFonts w:ascii="Calibri" w:hAnsi="Calibri"/>
                <w:sz w:val="19"/>
              </w:rPr>
              <w:t>Cyprus</w:t>
            </w:r>
          </w:p>
        </w:tc>
        <w:tc>
          <w:tcPr>
            <w:tcW w:type="dxa" w:w="1984"/>
            <w:vAlign w:val="center"/>
          </w:tcPr>
          <w:p>
            <w:r/>
            <w:r>
              <w:rPr>
                <w:rFonts w:ascii="Calibri" w:hAnsi="Calibri"/>
                <w:sz w:val="19"/>
              </w:rPr>
              <w:t>LIVS Accounting</w:t>
            </w:r>
          </w:p>
        </w:tc>
        <w:tc>
          <w:tcPr>
            <w:tcW w:type="dxa" w:w="2551"/>
            <w:vAlign w:val="center"/>
          </w:tcPr>
          <w:p>
            <w:r/>
            <w:r>
              <w:rPr>
                <w:rFonts w:ascii="Calibri" w:hAnsi="Calibri"/>
                <w:sz w:val="19"/>
              </w:rPr>
              <w:t>E-Soft, Sage 50 Cy</w:t>
            </w:r>
          </w:p>
        </w:tc>
        <w:tc>
          <w:tcPr>
            <w:tcW w:type="dxa" w:w="2835"/>
            <w:vAlign w:val="center"/>
          </w:tcPr>
          <w:p>
            <w:r/>
            <w:r>
              <w:rPr>
                <w:rFonts w:ascii="Calibri" w:hAnsi="Calibri"/>
                <w:sz w:val="19"/>
              </w:rPr>
              <w:t>LIVS is local market leader</w:t>
            </w:r>
          </w:p>
        </w:tc>
      </w:tr>
      <w:tr>
        <w:tc>
          <w:tcPr>
            <w:tcW w:type="dxa" w:w="1417"/>
            <w:shd w:val="clear" w:color="auto" w:fill="F4F6F9"/>
            <w:vAlign w:val="center"/>
          </w:tcPr>
          <w:p>
            <w:r/>
            <w:r>
              <w:rPr>
                <w:rFonts w:ascii="Calibri" w:hAnsi="Calibri"/>
                <w:sz w:val="19"/>
              </w:rPr>
              <w:t>Group consol.</w:t>
            </w:r>
          </w:p>
        </w:tc>
        <w:tc>
          <w:tcPr>
            <w:tcW w:type="dxa" w:w="1984"/>
            <w:shd w:val="clear" w:color="auto" w:fill="F4F6F9"/>
            <w:vAlign w:val="center"/>
          </w:tcPr>
          <w:p>
            <w:r/>
            <w:r>
              <w:rPr>
                <w:rFonts w:ascii="Calibri" w:hAnsi="Calibri"/>
                <w:sz w:val="19"/>
              </w:rPr>
              <w:t>Sage Intacct or NetSuite</w:t>
            </w:r>
          </w:p>
        </w:tc>
        <w:tc>
          <w:tcPr>
            <w:tcW w:type="dxa" w:w="2551"/>
            <w:shd w:val="clear" w:color="auto" w:fill="F4F6F9"/>
            <w:vAlign w:val="center"/>
          </w:tcPr>
          <w:p>
            <w:r/>
            <w:r>
              <w:rPr>
                <w:rFonts w:ascii="Calibri" w:hAnsi="Calibri"/>
                <w:sz w:val="19"/>
              </w:rPr>
              <w:t>Workday Adaptive</w:t>
            </w:r>
          </w:p>
        </w:tc>
        <w:tc>
          <w:tcPr>
            <w:tcW w:type="dxa" w:w="2835"/>
            <w:shd w:val="clear" w:color="auto" w:fill="F4F6F9"/>
            <w:vAlign w:val="center"/>
          </w:tcPr>
          <w:p>
            <w:r/>
            <w:r>
              <w:rPr>
                <w:rFonts w:ascii="Calibri" w:hAnsi="Calibri"/>
                <w:sz w:val="19"/>
              </w:rPr>
              <w:t>After Series A</w:t>
            </w:r>
          </w:p>
        </w:tc>
      </w:tr>
    </w:tbl>
    <w:p>
      <w:pPr>
        <w:spacing w:before="200" w:after="40"/>
      </w:pPr>
      <w:r>
        <w:rPr>
          <w:rFonts w:ascii="Calibri" w:hAnsi="Calibri"/>
          <w:b/>
          <w:color w:val="FF6B35"/>
          <w:sz w:val="23"/>
        </w:rPr>
        <w:t>AI / automation layer (Ledger-owned)</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1984"/>
            <w:shd w:val="clear" w:color="auto" w:fill="1F3A5F"/>
            <w:vAlign w:val="center"/>
          </w:tcPr>
          <w:p>
            <w:r/>
            <w:r>
              <w:rPr>
                <w:rFonts w:ascii="Calibri" w:hAnsi="Calibri"/>
                <w:b/>
                <w:color w:val="FFFFFF"/>
                <w:sz w:val="20"/>
              </w:rPr>
              <w:t>Capability</w:t>
            </w:r>
          </w:p>
        </w:tc>
        <w:tc>
          <w:tcPr>
            <w:tcW w:type="dxa" w:w="2268"/>
            <w:shd w:val="clear" w:color="auto" w:fill="1F3A5F"/>
            <w:vAlign w:val="center"/>
          </w:tcPr>
          <w:p>
            <w:r/>
            <w:r>
              <w:rPr>
                <w:rFonts w:ascii="Calibri" w:hAnsi="Calibri"/>
                <w:b/>
                <w:color w:val="FFFFFF"/>
                <w:sz w:val="20"/>
              </w:rPr>
              <w:t>Vendor / model</w:t>
            </w:r>
          </w:p>
        </w:tc>
        <w:tc>
          <w:tcPr>
            <w:tcW w:type="dxa" w:w="1417"/>
            <w:shd w:val="clear" w:color="auto" w:fill="1F3A5F"/>
            <w:vAlign w:val="center"/>
          </w:tcPr>
          <w:p>
            <w:r/>
            <w:r>
              <w:rPr>
                <w:rFonts w:ascii="Calibri" w:hAnsi="Calibri"/>
                <w:b/>
                <w:color w:val="FFFFFF"/>
                <w:sz w:val="20"/>
              </w:rPr>
              <w:t>Build vs. buy</w:t>
            </w:r>
          </w:p>
        </w:tc>
        <w:tc>
          <w:tcPr>
            <w:tcW w:type="dxa" w:w="1984"/>
            <w:shd w:val="clear" w:color="auto" w:fill="1F3A5F"/>
            <w:vAlign w:val="center"/>
          </w:tcPr>
          <w:p>
            <w:r/>
            <w:r>
              <w:rPr>
                <w:rFonts w:ascii="Calibri" w:hAnsi="Calibri"/>
                <w:b/>
                <w:color w:val="FFFFFF"/>
                <w:sz w:val="20"/>
              </w:rPr>
              <w:t>Annual cost (est.)</w:t>
            </w:r>
          </w:p>
        </w:tc>
      </w:tr>
      <w:tr>
        <w:tc>
          <w:tcPr>
            <w:tcW w:type="dxa" w:w="1984"/>
            <w:vAlign w:val="center"/>
          </w:tcPr>
          <w:p>
            <w:r/>
            <w:r>
              <w:rPr>
                <w:rFonts w:ascii="Calibri" w:hAnsi="Calibri"/>
                <w:sz w:val="19"/>
              </w:rPr>
              <w:t>OCR + doc intelligence</w:t>
            </w:r>
          </w:p>
        </w:tc>
        <w:tc>
          <w:tcPr>
            <w:tcW w:type="dxa" w:w="2268"/>
            <w:vAlign w:val="center"/>
          </w:tcPr>
          <w:p>
            <w:r/>
            <w:r>
              <w:rPr>
                <w:rFonts w:ascii="Calibri" w:hAnsi="Calibri"/>
                <w:sz w:val="19"/>
              </w:rPr>
              <w:t>Azure Document Intelligence</w:t>
            </w:r>
          </w:p>
        </w:tc>
        <w:tc>
          <w:tcPr>
            <w:tcW w:type="dxa" w:w="1417"/>
            <w:vAlign w:val="center"/>
          </w:tcPr>
          <w:p>
            <w:r/>
            <w:r>
              <w:rPr>
                <w:rFonts w:ascii="Calibri" w:hAnsi="Calibri"/>
                <w:sz w:val="19"/>
              </w:rPr>
              <w:t>Buy</w:t>
            </w:r>
          </w:p>
        </w:tc>
        <w:tc>
          <w:tcPr>
            <w:tcW w:type="dxa" w:w="1984"/>
            <w:vAlign w:val="center"/>
          </w:tcPr>
          <w:p>
            <w:r/>
            <w:r>
              <w:rPr>
                <w:rFonts w:ascii="Calibri" w:hAnsi="Calibri"/>
                <w:sz w:val="19"/>
              </w:rPr>
              <w:t>€20–40k</w:t>
            </w:r>
          </w:p>
        </w:tc>
      </w:tr>
      <w:tr>
        <w:tc>
          <w:tcPr>
            <w:tcW w:type="dxa" w:w="1984"/>
            <w:shd w:val="clear" w:color="auto" w:fill="F4F6F9"/>
            <w:vAlign w:val="center"/>
          </w:tcPr>
          <w:p>
            <w:r/>
            <w:r>
              <w:rPr>
                <w:rFonts w:ascii="Calibri" w:hAnsi="Calibri"/>
                <w:sz w:val="19"/>
              </w:rPr>
              <w:t>LLM orchestration</w:t>
            </w:r>
          </w:p>
        </w:tc>
        <w:tc>
          <w:tcPr>
            <w:tcW w:type="dxa" w:w="2268"/>
            <w:shd w:val="clear" w:color="auto" w:fill="F4F6F9"/>
            <w:vAlign w:val="center"/>
          </w:tcPr>
          <w:p>
            <w:r/>
            <w:r>
              <w:rPr>
                <w:rFonts w:ascii="Calibri" w:hAnsi="Calibri"/>
                <w:sz w:val="19"/>
              </w:rPr>
              <w:t>OpenAI GPT-4o + Anthropic Claude</w:t>
            </w:r>
          </w:p>
        </w:tc>
        <w:tc>
          <w:tcPr>
            <w:tcW w:type="dxa" w:w="1417"/>
            <w:shd w:val="clear" w:color="auto" w:fill="F4F6F9"/>
            <w:vAlign w:val="center"/>
          </w:tcPr>
          <w:p>
            <w:r/>
            <w:r>
              <w:rPr>
                <w:rFonts w:ascii="Calibri" w:hAnsi="Calibri"/>
                <w:sz w:val="19"/>
              </w:rPr>
              <w:t>Buy (API)</w:t>
            </w:r>
          </w:p>
        </w:tc>
        <w:tc>
          <w:tcPr>
            <w:tcW w:type="dxa" w:w="1984"/>
            <w:shd w:val="clear" w:color="auto" w:fill="F4F6F9"/>
            <w:vAlign w:val="center"/>
          </w:tcPr>
          <w:p>
            <w:r/>
            <w:r>
              <w:rPr>
                <w:rFonts w:ascii="Calibri" w:hAnsi="Calibri"/>
                <w:sz w:val="19"/>
              </w:rPr>
              <w:t>€15–30k</w:t>
            </w:r>
          </w:p>
        </w:tc>
      </w:tr>
      <w:tr>
        <w:tc>
          <w:tcPr>
            <w:tcW w:type="dxa" w:w="1984"/>
            <w:vAlign w:val="center"/>
          </w:tcPr>
          <w:p>
            <w:r/>
            <w:r>
              <w:rPr>
                <w:rFonts w:ascii="Calibri" w:hAnsi="Calibri"/>
                <w:sz w:val="19"/>
              </w:rPr>
              <w:t>Workflow orchestration</w:t>
            </w:r>
          </w:p>
        </w:tc>
        <w:tc>
          <w:tcPr>
            <w:tcW w:type="dxa" w:w="2268"/>
            <w:vAlign w:val="center"/>
          </w:tcPr>
          <w:p>
            <w:r/>
            <w:r>
              <w:rPr>
                <w:rFonts w:ascii="Calibri" w:hAnsi="Calibri"/>
                <w:sz w:val="19"/>
              </w:rPr>
              <w:t>Make.com or n8n self-hosted</w:t>
            </w:r>
          </w:p>
        </w:tc>
        <w:tc>
          <w:tcPr>
            <w:tcW w:type="dxa" w:w="1417"/>
            <w:vAlign w:val="center"/>
          </w:tcPr>
          <w:p>
            <w:r/>
            <w:r>
              <w:rPr>
                <w:rFonts w:ascii="Calibri" w:hAnsi="Calibri"/>
                <w:sz w:val="19"/>
              </w:rPr>
              <w:t>Buy</w:t>
            </w:r>
          </w:p>
        </w:tc>
        <w:tc>
          <w:tcPr>
            <w:tcW w:type="dxa" w:w="1984"/>
            <w:vAlign w:val="center"/>
          </w:tcPr>
          <w:p>
            <w:r/>
            <w:r>
              <w:rPr>
                <w:rFonts w:ascii="Calibri" w:hAnsi="Calibri"/>
                <w:sz w:val="19"/>
              </w:rPr>
              <w:t>€8–15k</w:t>
            </w:r>
          </w:p>
        </w:tc>
      </w:tr>
      <w:tr>
        <w:tc>
          <w:tcPr>
            <w:tcW w:type="dxa" w:w="1984"/>
            <w:shd w:val="clear" w:color="auto" w:fill="F4F6F9"/>
            <w:vAlign w:val="center"/>
          </w:tcPr>
          <w:p>
            <w:r/>
            <w:r>
              <w:rPr>
                <w:rFonts w:ascii="Calibri" w:hAnsi="Calibri"/>
                <w:sz w:val="19"/>
              </w:rPr>
              <w:t>Classification model</w:t>
            </w:r>
          </w:p>
        </w:tc>
        <w:tc>
          <w:tcPr>
            <w:tcW w:type="dxa" w:w="2268"/>
            <w:shd w:val="clear" w:color="auto" w:fill="F4F6F9"/>
            <w:vAlign w:val="center"/>
          </w:tcPr>
          <w:p>
            <w:r/>
            <w:r>
              <w:rPr>
                <w:rFonts w:ascii="Calibri" w:hAnsi="Calibri"/>
                <w:sz w:val="19"/>
              </w:rPr>
              <w:t>Fine-tuned BERT on practice data</w:t>
            </w:r>
          </w:p>
        </w:tc>
        <w:tc>
          <w:tcPr>
            <w:tcW w:type="dxa" w:w="1417"/>
            <w:shd w:val="clear" w:color="auto" w:fill="F4F6F9"/>
            <w:vAlign w:val="center"/>
          </w:tcPr>
          <w:p>
            <w:r/>
            <w:r>
              <w:rPr>
                <w:rFonts w:ascii="Calibri" w:hAnsi="Calibri"/>
                <w:sz w:val="19"/>
              </w:rPr>
              <w:t>Build (Y2)</w:t>
            </w:r>
          </w:p>
        </w:tc>
        <w:tc>
          <w:tcPr>
            <w:tcW w:type="dxa" w:w="1984"/>
            <w:shd w:val="clear" w:color="auto" w:fill="F4F6F9"/>
            <w:vAlign w:val="center"/>
          </w:tcPr>
          <w:p>
            <w:r/>
            <w:r>
              <w:rPr>
                <w:rFonts w:ascii="Calibri" w:hAnsi="Calibri"/>
                <w:sz w:val="19"/>
              </w:rPr>
              <w:t>€10k (one-off)</w:t>
            </w:r>
          </w:p>
        </w:tc>
      </w:tr>
      <w:tr>
        <w:tc>
          <w:tcPr>
            <w:tcW w:type="dxa" w:w="1984"/>
            <w:vAlign w:val="center"/>
          </w:tcPr>
          <w:p>
            <w:r/>
            <w:r>
              <w:rPr>
                <w:rFonts w:ascii="Calibri" w:hAnsi="Calibri"/>
                <w:sz w:val="19"/>
              </w:rPr>
              <w:t>Bank feed aggregation</w:t>
            </w:r>
          </w:p>
        </w:tc>
        <w:tc>
          <w:tcPr>
            <w:tcW w:type="dxa" w:w="2268"/>
            <w:vAlign w:val="center"/>
          </w:tcPr>
          <w:p>
            <w:r/>
            <w:r>
              <w:rPr>
                <w:rFonts w:ascii="Calibri" w:hAnsi="Calibri"/>
                <w:sz w:val="19"/>
              </w:rPr>
              <w:t>TrueLayer or Tink</w:t>
            </w:r>
          </w:p>
        </w:tc>
        <w:tc>
          <w:tcPr>
            <w:tcW w:type="dxa" w:w="1417"/>
            <w:vAlign w:val="center"/>
          </w:tcPr>
          <w:p>
            <w:r/>
            <w:r>
              <w:rPr>
                <w:rFonts w:ascii="Calibri" w:hAnsi="Calibri"/>
                <w:sz w:val="19"/>
              </w:rPr>
              <w:t>Buy</w:t>
            </w:r>
          </w:p>
        </w:tc>
        <w:tc>
          <w:tcPr>
            <w:tcW w:type="dxa" w:w="1984"/>
            <w:vAlign w:val="center"/>
          </w:tcPr>
          <w:p>
            <w:r/>
            <w:r>
              <w:rPr>
                <w:rFonts w:ascii="Calibri" w:hAnsi="Calibri"/>
                <w:sz w:val="19"/>
              </w:rPr>
              <w:t>€15–25k</w:t>
            </w:r>
          </w:p>
        </w:tc>
      </w:tr>
      <w:tr>
        <w:tc>
          <w:tcPr>
            <w:tcW w:type="dxa" w:w="1984"/>
            <w:shd w:val="clear" w:color="auto" w:fill="F4F6F9"/>
            <w:vAlign w:val="center"/>
          </w:tcPr>
          <w:p>
            <w:r/>
            <w:r>
              <w:rPr>
                <w:rFonts w:ascii="Calibri" w:hAnsi="Calibri"/>
                <w:sz w:val="19"/>
              </w:rPr>
              <w:t>Invoice fraud detection</w:t>
            </w:r>
          </w:p>
        </w:tc>
        <w:tc>
          <w:tcPr>
            <w:tcW w:type="dxa" w:w="2268"/>
            <w:shd w:val="clear" w:color="auto" w:fill="F4F6F9"/>
            <w:vAlign w:val="center"/>
          </w:tcPr>
          <w:p>
            <w:r/>
            <w:r>
              <w:rPr>
                <w:rFonts w:ascii="Calibri" w:hAnsi="Calibri"/>
                <w:sz w:val="19"/>
              </w:rPr>
              <w:t>In-house rules + GPT</w:t>
            </w:r>
          </w:p>
        </w:tc>
        <w:tc>
          <w:tcPr>
            <w:tcW w:type="dxa" w:w="1417"/>
            <w:shd w:val="clear" w:color="auto" w:fill="F4F6F9"/>
            <w:vAlign w:val="center"/>
          </w:tcPr>
          <w:p>
            <w:r/>
            <w:r>
              <w:rPr>
                <w:rFonts w:ascii="Calibri" w:hAnsi="Calibri"/>
                <w:sz w:val="19"/>
              </w:rPr>
              <w:t>Build</w:t>
            </w:r>
          </w:p>
        </w:tc>
        <w:tc>
          <w:tcPr>
            <w:tcW w:type="dxa" w:w="1984"/>
            <w:shd w:val="clear" w:color="auto" w:fill="F4F6F9"/>
            <w:vAlign w:val="center"/>
          </w:tcPr>
          <w:p>
            <w:r/>
            <w:r>
              <w:rPr>
                <w:rFonts w:ascii="Calibri" w:hAnsi="Calibri"/>
                <w:sz w:val="19"/>
              </w:rPr>
              <w:t>€5k (one-off)</w:t>
            </w:r>
          </w:p>
        </w:tc>
      </w:tr>
      <w:tr>
        <w:tc>
          <w:tcPr>
            <w:tcW w:type="dxa" w:w="1984"/>
            <w:vAlign w:val="center"/>
          </w:tcPr>
          <w:p>
            <w:r/>
            <w:r>
              <w:rPr>
                <w:rFonts w:ascii="Calibri" w:hAnsi="Calibri"/>
                <w:sz w:val="19"/>
              </w:rPr>
              <w:t>Dashboarding</w:t>
            </w:r>
          </w:p>
        </w:tc>
        <w:tc>
          <w:tcPr>
            <w:tcW w:type="dxa" w:w="2268"/>
            <w:vAlign w:val="center"/>
          </w:tcPr>
          <w:p>
            <w:r/>
            <w:r>
              <w:rPr>
                <w:rFonts w:ascii="Calibri" w:hAnsi="Calibri"/>
                <w:sz w:val="19"/>
              </w:rPr>
              <w:t>Metabase (open source)</w:t>
            </w:r>
          </w:p>
        </w:tc>
        <w:tc>
          <w:tcPr>
            <w:tcW w:type="dxa" w:w="1417"/>
            <w:vAlign w:val="center"/>
          </w:tcPr>
          <w:p>
            <w:r/>
            <w:r>
              <w:rPr>
                <w:rFonts w:ascii="Calibri" w:hAnsi="Calibri"/>
                <w:sz w:val="19"/>
              </w:rPr>
              <w:t>Buy / self-host</w:t>
            </w:r>
          </w:p>
        </w:tc>
        <w:tc>
          <w:tcPr>
            <w:tcW w:type="dxa" w:w="1984"/>
            <w:vAlign w:val="center"/>
          </w:tcPr>
          <w:p>
            <w:r/>
            <w:r>
              <w:rPr>
                <w:rFonts w:ascii="Calibri" w:hAnsi="Calibri"/>
                <w:sz w:val="19"/>
              </w:rPr>
              <w:t>€2k</w:t>
            </w:r>
          </w:p>
        </w:tc>
      </w:tr>
    </w:tbl>
    <w:p>
      <w:pPr>
        <w:spacing w:before="200" w:after="40"/>
      </w:pPr>
      <w:r>
        <w:rPr>
          <w:rFonts w:ascii="Calibri" w:hAnsi="Calibri"/>
          <w:b/>
          <w:color w:val="FF6B35"/>
          <w:sz w:val="23"/>
        </w:rPr>
        <w:t>Operations and shared services</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1701"/>
            <w:shd w:val="clear" w:color="auto" w:fill="1F3A5F"/>
            <w:vAlign w:val="center"/>
          </w:tcPr>
          <w:p>
            <w:r/>
            <w:r>
              <w:rPr>
                <w:rFonts w:ascii="Calibri" w:hAnsi="Calibri"/>
                <w:b/>
                <w:color w:val="FFFFFF"/>
                <w:sz w:val="20"/>
              </w:rPr>
              <w:t>Category</w:t>
            </w:r>
          </w:p>
        </w:tc>
        <w:tc>
          <w:tcPr>
            <w:tcW w:type="dxa" w:w="2835"/>
            <w:shd w:val="clear" w:color="auto" w:fill="1F3A5F"/>
            <w:vAlign w:val="center"/>
          </w:tcPr>
          <w:p>
            <w:r/>
            <w:r>
              <w:rPr>
                <w:rFonts w:ascii="Calibri" w:hAnsi="Calibri"/>
                <w:b/>
                <w:color w:val="FFFFFF"/>
                <w:sz w:val="20"/>
              </w:rPr>
              <w:t>Vendor</w:t>
            </w:r>
          </w:p>
        </w:tc>
        <w:tc>
          <w:tcPr>
            <w:tcW w:type="dxa" w:w="3402"/>
            <w:shd w:val="clear" w:color="auto" w:fill="1F3A5F"/>
            <w:vAlign w:val="center"/>
          </w:tcPr>
          <w:p>
            <w:r/>
            <w:r>
              <w:rPr>
                <w:rFonts w:ascii="Calibri" w:hAnsi="Calibri"/>
                <w:b/>
                <w:color w:val="FFFFFF"/>
                <w:sz w:val="20"/>
              </w:rPr>
              <w:t>Use</w:t>
            </w:r>
          </w:p>
        </w:tc>
      </w:tr>
      <w:tr>
        <w:tc>
          <w:tcPr>
            <w:tcW w:type="dxa" w:w="1701"/>
            <w:vAlign w:val="center"/>
          </w:tcPr>
          <w:p>
            <w:r/>
            <w:r>
              <w:rPr>
                <w:rFonts w:ascii="Calibri" w:hAnsi="Calibri"/>
                <w:sz w:val="19"/>
              </w:rPr>
              <w:t>CRM</w:t>
            </w:r>
          </w:p>
        </w:tc>
        <w:tc>
          <w:tcPr>
            <w:tcW w:type="dxa" w:w="2835"/>
            <w:vAlign w:val="center"/>
          </w:tcPr>
          <w:p>
            <w:r/>
            <w:r>
              <w:rPr>
                <w:rFonts w:ascii="Calibri" w:hAnsi="Calibri"/>
                <w:sz w:val="19"/>
              </w:rPr>
              <w:t>HubSpot Starter</w:t>
            </w:r>
          </w:p>
        </w:tc>
        <w:tc>
          <w:tcPr>
            <w:tcW w:type="dxa" w:w="3402"/>
            <w:vAlign w:val="center"/>
          </w:tcPr>
          <w:p>
            <w:r/>
            <w:r>
              <w:rPr>
                <w:rFonts w:ascii="Calibri" w:hAnsi="Calibri"/>
                <w:sz w:val="19"/>
              </w:rPr>
              <w:t>M&amp;A pipeline + client comms</w:t>
            </w:r>
          </w:p>
        </w:tc>
      </w:tr>
      <w:tr>
        <w:tc>
          <w:tcPr>
            <w:tcW w:type="dxa" w:w="1701"/>
            <w:shd w:val="clear" w:color="auto" w:fill="F4F6F9"/>
            <w:vAlign w:val="center"/>
          </w:tcPr>
          <w:p>
            <w:r/>
            <w:r>
              <w:rPr>
                <w:rFonts w:ascii="Calibri" w:hAnsi="Calibri"/>
                <w:sz w:val="19"/>
              </w:rPr>
              <w:t>HRIS</w:t>
            </w:r>
          </w:p>
        </w:tc>
        <w:tc>
          <w:tcPr>
            <w:tcW w:type="dxa" w:w="2835"/>
            <w:shd w:val="clear" w:color="auto" w:fill="F4F6F9"/>
            <w:vAlign w:val="center"/>
          </w:tcPr>
          <w:p>
            <w:r/>
            <w:r>
              <w:rPr>
                <w:rFonts w:ascii="Calibri" w:hAnsi="Calibri"/>
                <w:sz w:val="19"/>
              </w:rPr>
              <w:t>Personio</w:t>
            </w:r>
          </w:p>
        </w:tc>
        <w:tc>
          <w:tcPr>
            <w:tcW w:type="dxa" w:w="3402"/>
            <w:shd w:val="clear" w:color="auto" w:fill="F4F6F9"/>
            <w:vAlign w:val="center"/>
          </w:tcPr>
          <w:p>
            <w:r/>
            <w:r>
              <w:rPr>
                <w:rFonts w:ascii="Calibri" w:hAnsi="Calibri"/>
                <w:sz w:val="19"/>
              </w:rPr>
              <w:t>Multi-country payroll + HR</w:t>
            </w:r>
          </w:p>
        </w:tc>
      </w:tr>
      <w:tr>
        <w:tc>
          <w:tcPr>
            <w:tcW w:type="dxa" w:w="1701"/>
            <w:vAlign w:val="center"/>
          </w:tcPr>
          <w:p>
            <w:r/>
            <w:r>
              <w:rPr>
                <w:rFonts w:ascii="Calibri" w:hAnsi="Calibri"/>
                <w:sz w:val="19"/>
              </w:rPr>
              <w:t>Identity / SSO</w:t>
            </w:r>
          </w:p>
        </w:tc>
        <w:tc>
          <w:tcPr>
            <w:tcW w:type="dxa" w:w="2835"/>
            <w:vAlign w:val="center"/>
          </w:tcPr>
          <w:p>
            <w:r/>
            <w:r>
              <w:rPr>
                <w:rFonts w:ascii="Calibri" w:hAnsi="Calibri"/>
                <w:sz w:val="19"/>
              </w:rPr>
              <w:t>Okta or Microsoft Entra</w:t>
            </w:r>
          </w:p>
        </w:tc>
        <w:tc>
          <w:tcPr>
            <w:tcW w:type="dxa" w:w="3402"/>
            <w:vAlign w:val="center"/>
          </w:tcPr>
          <w:p>
            <w:r/>
            <w:r>
              <w:rPr>
                <w:rFonts w:ascii="Calibri" w:hAnsi="Calibri"/>
                <w:sz w:val="19"/>
              </w:rPr>
              <w:t>Group-wide access</w:t>
            </w:r>
          </w:p>
        </w:tc>
      </w:tr>
      <w:tr>
        <w:tc>
          <w:tcPr>
            <w:tcW w:type="dxa" w:w="1701"/>
            <w:shd w:val="clear" w:color="auto" w:fill="F4F6F9"/>
            <w:vAlign w:val="center"/>
          </w:tcPr>
          <w:p>
            <w:r/>
            <w:r>
              <w:rPr>
                <w:rFonts w:ascii="Calibri" w:hAnsi="Calibri"/>
                <w:sz w:val="19"/>
              </w:rPr>
              <w:t>Doc management</w:t>
            </w:r>
          </w:p>
        </w:tc>
        <w:tc>
          <w:tcPr>
            <w:tcW w:type="dxa" w:w="2835"/>
            <w:shd w:val="clear" w:color="auto" w:fill="F4F6F9"/>
            <w:vAlign w:val="center"/>
          </w:tcPr>
          <w:p>
            <w:r/>
            <w:r>
              <w:rPr>
                <w:rFonts w:ascii="Calibri" w:hAnsi="Calibri"/>
                <w:sz w:val="19"/>
              </w:rPr>
              <w:t>Box or SharePoint</w:t>
            </w:r>
          </w:p>
        </w:tc>
        <w:tc>
          <w:tcPr>
            <w:tcW w:type="dxa" w:w="3402"/>
            <w:shd w:val="clear" w:color="auto" w:fill="F4F6F9"/>
            <w:vAlign w:val="center"/>
          </w:tcPr>
          <w:p>
            <w:r/>
            <w:r>
              <w:rPr>
                <w:rFonts w:ascii="Calibri" w:hAnsi="Calibri"/>
                <w:sz w:val="19"/>
              </w:rPr>
              <w:t>Client books, DD rooms</w:t>
            </w:r>
          </w:p>
        </w:tc>
      </w:tr>
      <w:tr>
        <w:tc>
          <w:tcPr>
            <w:tcW w:type="dxa" w:w="1701"/>
            <w:vAlign w:val="center"/>
          </w:tcPr>
          <w:p>
            <w:r/>
            <w:r>
              <w:rPr>
                <w:rFonts w:ascii="Calibri" w:hAnsi="Calibri"/>
                <w:sz w:val="19"/>
              </w:rPr>
              <w:t>VDR (deal-by-deal)</w:t>
            </w:r>
          </w:p>
        </w:tc>
        <w:tc>
          <w:tcPr>
            <w:tcW w:type="dxa" w:w="2835"/>
            <w:vAlign w:val="center"/>
          </w:tcPr>
          <w:p>
            <w:r/>
            <w:r>
              <w:rPr>
                <w:rFonts w:ascii="Calibri" w:hAnsi="Calibri"/>
                <w:sz w:val="19"/>
              </w:rPr>
              <w:t>Datasite or Intralinks</w:t>
            </w:r>
          </w:p>
        </w:tc>
        <w:tc>
          <w:tcPr>
            <w:tcW w:type="dxa" w:w="3402"/>
            <w:vAlign w:val="center"/>
          </w:tcPr>
          <w:p>
            <w:r/>
            <w:r>
              <w:rPr>
                <w:rFonts w:ascii="Calibri" w:hAnsi="Calibri"/>
                <w:sz w:val="19"/>
              </w:rPr>
              <w:t>Diligence rooms</w:t>
            </w:r>
          </w:p>
        </w:tc>
      </w:tr>
      <w:tr>
        <w:tc>
          <w:tcPr>
            <w:tcW w:type="dxa" w:w="1701"/>
            <w:shd w:val="clear" w:color="auto" w:fill="F4F6F9"/>
            <w:vAlign w:val="center"/>
          </w:tcPr>
          <w:p>
            <w:r/>
            <w:r>
              <w:rPr>
                <w:rFonts w:ascii="Calibri" w:hAnsi="Calibri"/>
                <w:sz w:val="19"/>
              </w:rPr>
              <w:t>Communication</w:t>
            </w:r>
          </w:p>
        </w:tc>
        <w:tc>
          <w:tcPr>
            <w:tcW w:type="dxa" w:w="2835"/>
            <w:shd w:val="clear" w:color="auto" w:fill="F4F6F9"/>
            <w:vAlign w:val="center"/>
          </w:tcPr>
          <w:p>
            <w:r/>
            <w:r>
              <w:rPr>
                <w:rFonts w:ascii="Calibri" w:hAnsi="Calibri"/>
                <w:sz w:val="19"/>
              </w:rPr>
              <w:t>Slack + Google Workspace</w:t>
            </w:r>
          </w:p>
        </w:tc>
        <w:tc>
          <w:tcPr>
            <w:tcW w:type="dxa" w:w="3402"/>
            <w:shd w:val="clear" w:color="auto" w:fill="F4F6F9"/>
            <w:vAlign w:val="center"/>
          </w:tcPr>
          <w:p>
            <w:r/>
            <w:r>
              <w:rPr>
                <w:rFonts w:ascii="Calibri" w:hAnsi="Calibri"/>
                <w:sz w:val="19"/>
              </w:rPr>
              <w:t>Internal</w:t>
            </w:r>
          </w:p>
        </w:tc>
      </w:tr>
      <w:tr>
        <w:tc>
          <w:tcPr>
            <w:tcW w:type="dxa" w:w="1701"/>
            <w:vAlign w:val="center"/>
          </w:tcPr>
          <w:p>
            <w:r/>
            <w:r>
              <w:rPr>
                <w:rFonts w:ascii="Calibri" w:hAnsi="Calibri"/>
                <w:sz w:val="19"/>
              </w:rPr>
              <w:t>Project mgmt</w:t>
            </w:r>
          </w:p>
        </w:tc>
        <w:tc>
          <w:tcPr>
            <w:tcW w:type="dxa" w:w="2835"/>
            <w:vAlign w:val="center"/>
          </w:tcPr>
          <w:p>
            <w:r/>
            <w:r>
              <w:rPr>
                <w:rFonts w:ascii="Calibri" w:hAnsi="Calibri"/>
                <w:sz w:val="19"/>
              </w:rPr>
              <w:t>Linear or Asana</w:t>
            </w:r>
          </w:p>
        </w:tc>
        <w:tc>
          <w:tcPr>
            <w:tcW w:type="dxa" w:w="3402"/>
            <w:vAlign w:val="center"/>
          </w:tcPr>
          <w:p>
            <w:r/>
            <w:r>
              <w:rPr>
                <w:rFonts w:ascii="Calibri" w:hAnsi="Calibri"/>
                <w:sz w:val="19"/>
              </w:rPr>
              <w:t>Integration projects</w:t>
            </w:r>
          </w:p>
        </w:tc>
      </w:tr>
      <w:tr>
        <w:tc>
          <w:tcPr>
            <w:tcW w:type="dxa" w:w="1701"/>
            <w:shd w:val="clear" w:color="auto" w:fill="F4F6F9"/>
            <w:vAlign w:val="center"/>
          </w:tcPr>
          <w:p>
            <w:r/>
            <w:r>
              <w:rPr>
                <w:rFonts w:ascii="Calibri" w:hAnsi="Calibri"/>
                <w:sz w:val="19"/>
              </w:rPr>
              <w:t>Knowledge / wiki</w:t>
            </w:r>
          </w:p>
        </w:tc>
        <w:tc>
          <w:tcPr>
            <w:tcW w:type="dxa" w:w="2835"/>
            <w:shd w:val="clear" w:color="auto" w:fill="F4F6F9"/>
            <w:vAlign w:val="center"/>
          </w:tcPr>
          <w:p>
            <w:r/>
            <w:r>
              <w:rPr>
                <w:rFonts w:ascii="Calibri" w:hAnsi="Calibri"/>
                <w:sz w:val="19"/>
              </w:rPr>
              <w:t>Notion</w:t>
            </w:r>
          </w:p>
        </w:tc>
        <w:tc>
          <w:tcPr>
            <w:tcW w:type="dxa" w:w="3402"/>
            <w:shd w:val="clear" w:color="auto" w:fill="F4F6F9"/>
            <w:vAlign w:val="center"/>
          </w:tcPr>
          <w:p>
            <w:r/>
            <w:r>
              <w:rPr>
                <w:rFonts w:ascii="Calibri" w:hAnsi="Calibri"/>
                <w:sz w:val="19"/>
              </w:rPr>
              <w:t>Playbooks, post-mortems</w:t>
            </w:r>
          </w:p>
        </w:tc>
      </w:tr>
      <w:tr>
        <w:tc>
          <w:tcPr>
            <w:tcW w:type="dxa" w:w="1701"/>
            <w:vAlign w:val="center"/>
          </w:tcPr>
          <w:p>
            <w:r/>
            <w:r>
              <w:rPr>
                <w:rFonts w:ascii="Calibri" w:hAnsi="Calibri"/>
                <w:sz w:val="19"/>
              </w:rPr>
              <w:t>Compliance</w:t>
            </w:r>
          </w:p>
        </w:tc>
        <w:tc>
          <w:tcPr>
            <w:tcW w:type="dxa" w:w="2835"/>
            <w:vAlign w:val="center"/>
          </w:tcPr>
          <w:p>
            <w:r/>
            <w:r>
              <w:rPr>
                <w:rFonts w:ascii="Calibri" w:hAnsi="Calibri"/>
                <w:sz w:val="19"/>
              </w:rPr>
              <w:t>OneTrust</w:t>
            </w:r>
          </w:p>
        </w:tc>
        <w:tc>
          <w:tcPr>
            <w:tcW w:type="dxa" w:w="3402"/>
            <w:vAlign w:val="center"/>
          </w:tcPr>
          <w:p>
            <w:r/>
            <w:r>
              <w:rPr>
                <w:rFonts w:ascii="Calibri" w:hAnsi="Calibri"/>
                <w:sz w:val="19"/>
              </w:rPr>
              <w:t>GDPR + KYC + AML logs</w:t>
            </w:r>
          </w:p>
        </w:tc>
      </w:tr>
      <w:tr>
        <w:tc>
          <w:tcPr>
            <w:tcW w:type="dxa" w:w="1701"/>
            <w:shd w:val="clear" w:color="auto" w:fill="F4F6F9"/>
            <w:vAlign w:val="center"/>
          </w:tcPr>
          <w:p>
            <w:r/>
            <w:r>
              <w:rPr>
                <w:rFonts w:ascii="Calibri" w:hAnsi="Calibri"/>
                <w:sz w:val="19"/>
              </w:rPr>
              <w:t>Treasury</w:t>
            </w:r>
          </w:p>
        </w:tc>
        <w:tc>
          <w:tcPr>
            <w:tcW w:type="dxa" w:w="2835"/>
            <w:shd w:val="clear" w:color="auto" w:fill="F4F6F9"/>
            <w:vAlign w:val="center"/>
          </w:tcPr>
          <w:p>
            <w:r/>
            <w:r>
              <w:rPr>
                <w:rFonts w:ascii="Calibri" w:hAnsi="Calibri"/>
                <w:sz w:val="19"/>
              </w:rPr>
              <w:t>Airwallex or Wise Business</w:t>
            </w:r>
          </w:p>
        </w:tc>
        <w:tc>
          <w:tcPr>
            <w:tcW w:type="dxa" w:w="3402"/>
            <w:shd w:val="clear" w:color="auto" w:fill="F4F6F9"/>
            <w:vAlign w:val="center"/>
          </w:tcPr>
          <w:p>
            <w:r/>
            <w:r>
              <w:rPr>
                <w:rFonts w:ascii="Calibri" w:hAnsi="Calibri"/>
                <w:sz w:val="19"/>
              </w:rPr>
              <w:t>Multi-currency cash</w:t>
            </w:r>
          </w:p>
        </w:tc>
      </w:tr>
    </w:tbl>
    <w:p>
      <w:pPr>
        <w:spacing w:before="280" w:after="80"/>
      </w:pPr>
      <w:r>
        <w:rPr>
          <w:rFonts w:ascii="Calibri" w:hAnsi="Calibri"/>
          <w:b/>
          <w:color w:val="1F3A5F"/>
          <w:sz w:val="28"/>
        </w:rPr>
        <w:t>7.3  Total IT spend by year</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1417"/>
            <w:shd w:val="clear" w:color="auto" w:fill="1F3A5F"/>
            <w:vAlign w:val="center"/>
          </w:tcPr>
          <w:p>
            <w:r/>
            <w:r>
              <w:rPr>
                <w:rFonts w:ascii="Calibri" w:hAnsi="Calibri"/>
                <w:b/>
                <w:color w:val="FFFFFF"/>
                <w:sz w:val="20"/>
              </w:rPr>
              <w:t>Year</w:t>
            </w:r>
          </w:p>
        </w:tc>
        <w:tc>
          <w:tcPr>
            <w:tcW w:type="dxa" w:w="2268"/>
            <w:shd w:val="clear" w:color="auto" w:fill="1F3A5F"/>
            <w:vAlign w:val="center"/>
          </w:tcPr>
          <w:p>
            <w:r/>
            <w:r>
              <w:rPr>
                <w:rFonts w:ascii="Calibri" w:hAnsi="Calibri"/>
                <w:b/>
                <w:color w:val="FFFFFF"/>
                <w:sz w:val="20"/>
              </w:rPr>
              <w:t>Acquired-practice tech</w:t>
            </w:r>
          </w:p>
        </w:tc>
        <w:tc>
          <w:tcPr>
            <w:tcW w:type="dxa" w:w="2268"/>
            <w:shd w:val="clear" w:color="auto" w:fill="1F3A5F"/>
            <w:vAlign w:val="center"/>
          </w:tcPr>
          <w:p>
            <w:r/>
            <w:r>
              <w:rPr>
                <w:rFonts w:ascii="Calibri" w:hAnsi="Calibri"/>
                <w:b/>
                <w:color w:val="FFFFFF"/>
                <w:sz w:val="20"/>
              </w:rPr>
              <w:t>Group AI / SaaS</w:t>
            </w:r>
          </w:p>
        </w:tc>
        <w:tc>
          <w:tcPr>
            <w:tcW w:type="dxa" w:w="1701"/>
            <w:shd w:val="clear" w:color="auto" w:fill="1F3A5F"/>
            <w:vAlign w:val="center"/>
          </w:tcPr>
          <w:p>
            <w:r/>
            <w:r>
              <w:rPr>
                <w:rFonts w:ascii="Calibri" w:hAnsi="Calibri"/>
                <w:b/>
                <w:color w:val="FFFFFF"/>
                <w:sz w:val="20"/>
              </w:rPr>
              <w:t>Total</w:t>
            </w:r>
          </w:p>
        </w:tc>
      </w:tr>
      <w:tr>
        <w:tc>
          <w:tcPr>
            <w:tcW w:type="dxa" w:w="1417"/>
            <w:vAlign w:val="center"/>
          </w:tcPr>
          <w:p>
            <w:r/>
            <w:r>
              <w:rPr>
                <w:rFonts w:ascii="Calibri" w:hAnsi="Calibri"/>
                <w:sz w:val="19"/>
              </w:rPr>
              <w:t>Y1 (FY26)</w:t>
            </w:r>
          </w:p>
        </w:tc>
        <w:tc>
          <w:tcPr>
            <w:tcW w:type="dxa" w:w="2268"/>
            <w:vAlign w:val="center"/>
          </w:tcPr>
          <w:p>
            <w:r/>
            <w:r>
              <w:rPr>
                <w:rFonts w:ascii="Calibri" w:hAnsi="Calibri"/>
                <w:sz w:val="19"/>
              </w:rPr>
              <w:t>€25k</w:t>
            </w:r>
          </w:p>
        </w:tc>
        <w:tc>
          <w:tcPr>
            <w:tcW w:type="dxa" w:w="2268"/>
            <w:vAlign w:val="center"/>
          </w:tcPr>
          <w:p>
            <w:r/>
            <w:r>
              <w:rPr>
                <w:rFonts w:ascii="Calibri" w:hAnsi="Calibri"/>
                <w:sz w:val="19"/>
              </w:rPr>
              <w:t>€110k</w:t>
            </w:r>
          </w:p>
        </w:tc>
        <w:tc>
          <w:tcPr>
            <w:tcW w:type="dxa" w:w="1701"/>
            <w:vAlign w:val="center"/>
          </w:tcPr>
          <w:p>
            <w:r/>
            <w:r>
              <w:rPr>
                <w:rFonts w:ascii="Calibri" w:hAnsi="Calibri"/>
                <w:sz w:val="19"/>
              </w:rPr>
              <w:t>€135k</w:t>
            </w:r>
          </w:p>
        </w:tc>
      </w:tr>
      <w:tr>
        <w:tc>
          <w:tcPr>
            <w:tcW w:type="dxa" w:w="1417"/>
            <w:shd w:val="clear" w:color="auto" w:fill="F4F6F9"/>
            <w:vAlign w:val="center"/>
          </w:tcPr>
          <w:p>
            <w:r/>
            <w:r>
              <w:rPr>
                <w:rFonts w:ascii="Calibri" w:hAnsi="Calibri"/>
                <w:sz w:val="19"/>
              </w:rPr>
              <w:t>Y2 (FY27)</w:t>
            </w:r>
          </w:p>
        </w:tc>
        <w:tc>
          <w:tcPr>
            <w:tcW w:type="dxa" w:w="2268"/>
            <w:shd w:val="clear" w:color="auto" w:fill="F4F6F9"/>
            <w:vAlign w:val="center"/>
          </w:tcPr>
          <w:p>
            <w:r/>
            <w:r>
              <w:rPr>
                <w:rFonts w:ascii="Calibri" w:hAnsi="Calibri"/>
                <w:sz w:val="19"/>
              </w:rPr>
              <w:t>€60k</w:t>
            </w:r>
          </w:p>
        </w:tc>
        <w:tc>
          <w:tcPr>
            <w:tcW w:type="dxa" w:w="2268"/>
            <w:shd w:val="clear" w:color="auto" w:fill="F4F6F9"/>
            <w:vAlign w:val="center"/>
          </w:tcPr>
          <w:p>
            <w:r/>
            <w:r>
              <w:rPr>
                <w:rFonts w:ascii="Calibri" w:hAnsi="Calibri"/>
                <w:sz w:val="19"/>
              </w:rPr>
              <w:t>€180k</w:t>
            </w:r>
          </w:p>
        </w:tc>
        <w:tc>
          <w:tcPr>
            <w:tcW w:type="dxa" w:w="1701"/>
            <w:shd w:val="clear" w:color="auto" w:fill="F4F6F9"/>
            <w:vAlign w:val="center"/>
          </w:tcPr>
          <w:p>
            <w:r/>
            <w:r>
              <w:rPr>
                <w:rFonts w:ascii="Calibri" w:hAnsi="Calibri"/>
                <w:sz w:val="19"/>
              </w:rPr>
              <w:t>€240k</w:t>
            </w:r>
          </w:p>
        </w:tc>
      </w:tr>
      <w:tr>
        <w:tc>
          <w:tcPr>
            <w:tcW w:type="dxa" w:w="1417"/>
            <w:vAlign w:val="center"/>
          </w:tcPr>
          <w:p>
            <w:r/>
            <w:r>
              <w:rPr>
                <w:rFonts w:ascii="Calibri" w:hAnsi="Calibri"/>
                <w:sz w:val="19"/>
              </w:rPr>
              <w:t>Y3 (FY28)</w:t>
            </w:r>
          </w:p>
        </w:tc>
        <w:tc>
          <w:tcPr>
            <w:tcW w:type="dxa" w:w="2268"/>
            <w:vAlign w:val="center"/>
          </w:tcPr>
          <w:p>
            <w:r/>
            <w:r>
              <w:rPr>
                <w:rFonts w:ascii="Calibri" w:hAnsi="Calibri"/>
                <w:sz w:val="19"/>
              </w:rPr>
              <w:t>€120k</w:t>
            </w:r>
          </w:p>
        </w:tc>
        <w:tc>
          <w:tcPr>
            <w:tcW w:type="dxa" w:w="2268"/>
            <w:vAlign w:val="center"/>
          </w:tcPr>
          <w:p>
            <w:r/>
            <w:r>
              <w:rPr>
                <w:rFonts w:ascii="Calibri" w:hAnsi="Calibri"/>
                <w:sz w:val="19"/>
              </w:rPr>
              <w:t>€260k</w:t>
            </w:r>
          </w:p>
        </w:tc>
        <w:tc>
          <w:tcPr>
            <w:tcW w:type="dxa" w:w="1701"/>
            <w:vAlign w:val="center"/>
          </w:tcPr>
          <w:p>
            <w:r/>
            <w:r>
              <w:rPr>
                <w:rFonts w:ascii="Calibri" w:hAnsi="Calibri"/>
                <w:sz w:val="19"/>
              </w:rPr>
              <w:t>€380k</w:t>
            </w:r>
          </w:p>
        </w:tc>
      </w:tr>
      <w:tr>
        <w:tc>
          <w:tcPr>
            <w:tcW w:type="dxa" w:w="1417"/>
            <w:shd w:val="clear" w:color="auto" w:fill="F4F6F9"/>
            <w:vAlign w:val="center"/>
          </w:tcPr>
          <w:p>
            <w:r/>
            <w:r>
              <w:rPr>
                <w:rFonts w:ascii="Calibri" w:hAnsi="Calibri"/>
                <w:sz w:val="19"/>
              </w:rPr>
              <w:t>Y4 (FY29)</w:t>
            </w:r>
          </w:p>
        </w:tc>
        <w:tc>
          <w:tcPr>
            <w:tcW w:type="dxa" w:w="2268"/>
            <w:shd w:val="clear" w:color="auto" w:fill="F4F6F9"/>
            <w:vAlign w:val="center"/>
          </w:tcPr>
          <w:p>
            <w:r/>
            <w:r>
              <w:rPr>
                <w:rFonts w:ascii="Calibri" w:hAnsi="Calibri"/>
                <w:sz w:val="19"/>
              </w:rPr>
              <w:t>€200k</w:t>
            </w:r>
          </w:p>
        </w:tc>
        <w:tc>
          <w:tcPr>
            <w:tcW w:type="dxa" w:w="2268"/>
            <w:shd w:val="clear" w:color="auto" w:fill="F4F6F9"/>
            <w:vAlign w:val="center"/>
          </w:tcPr>
          <w:p>
            <w:r/>
            <w:r>
              <w:rPr>
                <w:rFonts w:ascii="Calibri" w:hAnsi="Calibri"/>
                <w:sz w:val="19"/>
              </w:rPr>
              <w:t>€330k</w:t>
            </w:r>
          </w:p>
        </w:tc>
        <w:tc>
          <w:tcPr>
            <w:tcW w:type="dxa" w:w="1701"/>
            <w:shd w:val="clear" w:color="auto" w:fill="F4F6F9"/>
            <w:vAlign w:val="center"/>
          </w:tcPr>
          <w:p>
            <w:r/>
            <w:r>
              <w:rPr>
                <w:rFonts w:ascii="Calibri" w:hAnsi="Calibri"/>
                <w:sz w:val="19"/>
              </w:rPr>
              <w:t>€530k</w:t>
            </w:r>
          </w:p>
        </w:tc>
      </w:tr>
      <w:tr>
        <w:tc>
          <w:tcPr>
            <w:tcW w:type="dxa" w:w="1417"/>
            <w:vAlign w:val="center"/>
          </w:tcPr>
          <w:p>
            <w:r/>
            <w:r>
              <w:rPr>
                <w:rFonts w:ascii="Calibri" w:hAnsi="Calibri"/>
                <w:sz w:val="19"/>
              </w:rPr>
              <w:t>Y5 (FY30)</w:t>
            </w:r>
          </w:p>
        </w:tc>
        <w:tc>
          <w:tcPr>
            <w:tcW w:type="dxa" w:w="2268"/>
            <w:vAlign w:val="center"/>
          </w:tcPr>
          <w:p>
            <w:r/>
            <w:r>
              <w:rPr>
                <w:rFonts w:ascii="Calibri" w:hAnsi="Calibri"/>
                <w:sz w:val="19"/>
              </w:rPr>
              <w:t>€280k</w:t>
            </w:r>
          </w:p>
        </w:tc>
        <w:tc>
          <w:tcPr>
            <w:tcW w:type="dxa" w:w="2268"/>
            <w:vAlign w:val="center"/>
          </w:tcPr>
          <w:p>
            <w:r/>
            <w:r>
              <w:rPr>
                <w:rFonts w:ascii="Calibri" w:hAnsi="Calibri"/>
                <w:sz w:val="19"/>
              </w:rPr>
              <w:t>€410k</w:t>
            </w:r>
          </w:p>
        </w:tc>
        <w:tc>
          <w:tcPr>
            <w:tcW w:type="dxa" w:w="1701"/>
            <w:vAlign w:val="center"/>
          </w:tcPr>
          <w:p>
            <w:r/>
            <w:r>
              <w:rPr>
                <w:rFonts w:ascii="Calibri" w:hAnsi="Calibri"/>
                <w:sz w:val="19"/>
              </w:rPr>
              <w:t>€690k</w:t>
            </w:r>
          </w:p>
        </w:tc>
      </w:tr>
    </w:tbl>
    <w:p>
      <w:r>
        <w:br w:type="page"/>
      </w:r>
    </w:p>
    <w:p>
      <w:pPr>
        <w:spacing w:before="360" w:after="120"/>
      </w:pPr>
      <w:r>
        <w:rPr>
          <w:rFonts w:ascii="Calibri" w:hAnsi="Calibri"/>
          <w:b/>
          <w:color w:val="1F3A5F"/>
          <w:sz w:val="40"/>
        </w:rPr>
        <w:t>8. 100-Day Launch Plan</w:t>
      </w:r>
    </w:p>
    <w:p>
      <w:pPr>
        <w:spacing w:after="80" w:line="300" w:lineRule="auto"/>
      </w:pPr>
      <w:r>
        <w:rPr>
          <w:rFonts w:ascii="Calibri" w:hAnsi="Calibri"/>
          <w:b w:val="0"/>
          <w:i w:val="0"/>
          <w:color w:val="101010"/>
          <w:sz w:val="21"/>
        </w:rPr>
        <w:t>The 100-day plan is broken into 4 phases: Foundation (D1–25), Sourcing (D26–60), Closing (D61–90), Scale prep (D91–100). The detailed Gantt with owners, dependencies and KPIs is in the accompanying Excel model (tab: 100-Day Plan). This section is the narrative.</w:t>
      </w:r>
    </w:p>
    <w:p>
      <w:pPr>
        <w:spacing w:before="280" w:after="80"/>
      </w:pPr>
      <w:r>
        <w:rPr>
          <w:rFonts w:ascii="Calibri" w:hAnsi="Calibri"/>
          <w:b/>
          <w:color w:val="1F3A5F"/>
          <w:sz w:val="28"/>
        </w:rPr>
        <w:t>8.1  Phase 1 — Foundation (D1–25)</w:t>
      </w:r>
    </w:p>
    <w:p>
      <w:pPr>
        <w:spacing w:before="200" w:after="40"/>
      </w:pPr>
      <w:r>
        <w:rPr>
          <w:rFonts w:ascii="Calibri" w:hAnsi="Calibri"/>
          <w:b/>
          <w:color w:val="FF6B35"/>
          <w:sz w:val="23"/>
        </w:rPr>
        <w:t>Legal and structure</w:t>
      </w:r>
    </w:p>
    <w:p>
      <w:pPr>
        <w:pStyle w:val="ListBullet"/>
        <w:spacing w:after="40" w:line="288" w:lineRule="auto"/>
      </w:pPr>
      <w:r>
        <w:rPr>
          <w:rFonts w:ascii="Calibri" w:hAnsi="Calibri"/>
          <w:sz w:val="21"/>
        </w:rPr>
        <w:t>D1 — Cofounder agreement signed; equity split locked (founders 80%, option pool 15%, advisor pool 5%).</w:t>
      </w:r>
    </w:p>
    <w:p>
      <w:pPr>
        <w:pStyle w:val="ListBullet"/>
        <w:spacing w:after="40" w:line="288" w:lineRule="auto"/>
      </w:pPr>
      <w:r>
        <w:rPr>
          <w:rFonts w:ascii="Calibri" w:hAnsi="Calibri"/>
          <w:sz w:val="21"/>
        </w:rPr>
        <w:t>D3 — Engage Cyprus law firm; mandate Ledger Holdings Limited incorporation.</w:t>
      </w:r>
    </w:p>
    <w:p>
      <w:pPr>
        <w:pStyle w:val="ListBullet"/>
        <w:spacing w:after="40" w:line="288" w:lineRule="auto"/>
      </w:pPr>
      <w:r>
        <w:rPr>
          <w:rFonts w:ascii="Calibri" w:hAnsi="Calibri"/>
          <w:sz w:val="21"/>
        </w:rPr>
        <w:t>D10 — Open NL personal advisor + Cyprus group bank accounts (Bank of Cyprus, ING Cyprus, Revolut Business).</w:t>
      </w:r>
    </w:p>
    <w:p>
      <w:pPr>
        <w:pStyle w:val="ListBullet"/>
        <w:spacing w:after="40" w:line="288" w:lineRule="auto"/>
      </w:pPr>
      <w:r>
        <w:rPr>
          <w:rFonts w:ascii="Calibri" w:hAnsi="Calibri"/>
          <w:sz w:val="21"/>
        </w:rPr>
        <w:t>D15 — Cyprus holdco incorporated; first board minutes signed.</w:t>
      </w:r>
    </w:p>
    <w:p>
      <w:pPr>
        <w:pStyle w:val="ListBullet"/>
        <w:spacing w:after="40" w:line="288" w:lineRule="auto"/>
      </w:pPr>
      <w:r>
        <w:rPr>
          <w:rFonts w:ascii="Calibri" w:hAnsi="Calibri"/>
          <w:sz w:val="21"/>
        </w:rPr>
        <w:t>D20 — Ledger Poland Sp. z o.o. registration filed (KRS).</w:t>
      </w:r>
    </w:p>
    <w:p>
      <w:pPr>
        <w:spacing w:before="200" w:after="40"/>
      </w:pPr>
      <w:r>
        <w:rPr>
          <w:rFonts w:ascii="Calibri" w:hAnsi="Calibri"/>
          <w:b/>
          <w:color w:val="FF6B35"/>
          <w:sz w:val="23"/>
        </w:rPr>
        <w:t>Team</w:t>
      </w:r>
    </w:p>
    <w:p>
      <w:pPr>
        <w:pStyle w:val="ListBullet"/>
        <w:spacing w:after="40" w:line="288" w:lineRule="auto"/>
      </w:pPr>
      <w:r>
        <w:rPr>
          <w:rFonts w:ascii="Calibri" w:hAnsi="Calibri"/>
          <w:sz w:val="21"/>
        </w:rPr>
        <w:t>D5 — Job specs published for: M&amp;A originator (PL), Head of Integration, Head of AI / Product.</w:t>
      </w:r>
    </w:p>
    <w:p>
      <w:pPr>
        <w:pStyle w:val="ListBullet"/>
        <w:spacing w:after="40" w:line="288" w:lineRule="auto"/>
      </w:pPr>
      <w:r>
        <w:rPr>
          <w:rFonts w:ascii="Calibri" w:hAnsi="Calibri"/>
          <w:sz w:val="21"/>
        </w:rPr>
        <w:t>D15 — First-round interviews complete (10–15 candidates per role).</w:t>
      </w:r>
    </w:p>
    <w:p>
      <w:pPr>
        <w:pStyle w:val="ListBullet"/>
        <w:spacing w:after="40" w:line="288" w:lineRule="auto"/>
      </w:pPr>
      <w:r>
        <w:rPr>
          <w:rFonts w:ascii="Calibri" w:hAnsi="Calibri"/>
          <w:sz w:val="21"/>
        </w:rPr>
        <w:t>D25 — First key hire (M&amp;A originator) signed, starts D40.</w:t>
      </w:r>
    </w:p>
    <w:p>
      <w:pPr>
        <w:spacing w:before="200" w:after="40"/>
      </w:pPr>
      <w:r>
        <w:rPr>
          <w:rFonts w:ascii="Calibri" w:hAnsi="Calibri"/>
          <w:b/>
          <w:color w:val="FF6B35"/>
          <w:sz w:val="23"/>
        </w:rPr>
        <w:t>Capital</w:t>
      </w:r>
    </w:p>
    <w:p>
      <w:pPr>
        <w:pStyle w:val="ListBullet"/>
        <w:spacing w:after="40" w:line="288" w:lineRule="auto"/>
      </w:pPr>
      <w:r>
        <w:rPr>
          <w:rFonts w:ascii="Calibri" w:hAnsi="Calibri"/>
          <w:sz w:val="21"/>
        </w:rPr>
        <w:t>D7 — Founder commit + 5 angel commits locked (€250k total).</w:t>
      </w:r>
    </w:p>
    <w:p>
      <w:pPr>
        <w:pStyle w:val="ListBullet"/>
        <w:spacing w:after="40" w:line="288" w:lineRule="auto"/>
      </w:pPr>
      <w:r>
        <w:rPr>
          <w:rFonts w:ascii="Calibri" w:hAnsi="Calibri"/>
          <w:sz w:val="21"/>
        </w:rPr>
        <w:t>D14 — SAFE / convertible notes signed.</w:t>
      </w:r>
    </w:p>
    <w:p>
      <w:pPr>
        <w:pStyle w:val="ListBullet"/>
        <w:spacing w:after="40" w:line="288" w:lineRule="auto"/>
      </w:pPr>
      <w:r>
        <w:rPr>
          <w:rFonts w:ascii="Calibri" w:hAnsi="Calibri"/>
          <w:sz w:val="21"/>
        </w:rPr>
        <w:t>D25 — Series A pitch deck draft v1.</w:t>
      </w:r>
    </w:p>
    <w:p>
      <w:pPr>
        <w:spacing w:before="280" w:after="80"/>
      </w:pPr>
      <w:r>
        <w:rPr>
          <w:rFonts w:ascii="Calibri" w:hAnsi="Calibri"/>
          <w:b/>
          <w:color w:val="1F3A5F"/>
          <w:sz w:val="28"/>
        </w:rPr>
        <w:t>8.2  Phase 2 — Sourcing (D26–60)</w:t>
      </w:r>
    </w:p>
    <w:p>
      <w:pPr>
        <w:spacing w:before="200" w:after="40"/>
      </w:pPr>
      <w:r>
        <w:rPr>
          <w:rFonts w:ascii="Calibri" w:hAnsi="Calibri"/>
          <w:b/>
          <w:color w:val="FF6B35"/>
          <w:sz w:val="23"/>
        </w:rPr>
        <w:t>Pipeline</w:t>
      </w:r>
    </w:p>
    <w:p>
      <w:pPr>
        <w:pStyle w:val="ListBullet"/>
        <w:spacing w:after="40" w:line="288" w:lineRule="auto"/>
      </w:pPr>
      <w:r>
        <w:rPr>
          <w:rFonts w:ascii="Calibri" w:hAnsi="Calibri"/>
          <w:sz w:val="21"/>
        </w:rPr>
        <w:t>D28 — Polish target universe scraped (KRS + REGON + sector codes) — 8,500 sub-€2M practices.</w:t>
      </w:r>
    </w:p>
    <w:p>
      <w:pPr>
        <w:pStyle w:val="ListBullet"/>
        <w:spacing w:after="40" w:line="288" w:lineRule="auto"/>
      </w:pPr>
      <w:r>
        <w:rPr>
          <w:rFonts w:ascii="Calibri" w:hAnsi="Calibri"/>
          <w:sz w:val="21"/>
        </w:rPr>
        <w:t>D32 — First 200 targets screened on revenue / margin / location / age of owner.</w:t>
      </w:r>
    </w:p>
    <w:p>
      <w:pPr>
        <w:pStyle w:val="ListBullet"/>
        <w:spacing w:after="40" w:line="288" w:lineRule="auto"/>
      </w:pPr>
      <w:r>
        <w:rPr>
          <w:rFonts w:ascii="Calibri" w:hAnsi="Calibri"/>
          <w:sz w:val="21"/>
        </w:rPr>
        <w:t>D40 — Outreach campaign live (40 letters / week to qualifying targets).</w:t>
      </w:r>
    </w:p>
    <w:p>
      <w:pPr>
        <w:pStyle w:val="ListBullet"/>
        <w:spacing w:after="40" w:line="288" w:lineRule="auto"/>
      </w:pPr>
      <w:r>
        <w:rPr>
          <w:rFonts w:ascii="Calibri" w:hAnsi="Calibri"/>
          <w:sz w:val="21"/>
        </w:rPr>
        <w:t>D45 — First 8–12 introductory meetings booked.</w:t>
      </w:r>
    </w:p>
    <w:p>
      <w:pPr>
        <w:pStyle w:val="ListBullet"/>
        <w:spacing w:after="40" w:line="288" w:lineRule="auto"/>
      </w:pPr>
      <w:r>
        <w:rPr>
          <w:rFonts w:ascii="Calibri" w:hAnsi="Calibri"/>
          <w:sz w:val="21"/>
        </w:rPr>
        <w:t>D55 — First 2–3 LOIs / NBOs drafted on qualified targets.</w:t>
      </w:r>
    </w:p>
    <w:p>
      <w:pPr>
        <w:spacing w:before="200" w:after="40"/>
      </w:pPr>
      <w:r>
        <w:rPr>
          <w:rFonts w:ascii="Calibri" w:hAnsi="Calibri"/>
          <w:b/>
          <w:color w:val="FF6B35"/>
          <w:sz w:val="23"/>
        </w:rPr>
        <w:t>AI overlay pre-build</w:t>
      </w:r>
    </w:p>
    <w:p>
      <w:pPr>
        <w:pStyle w:val="ListBullet"/>
        <w:spacing w:after="40" w:line="288" w:lineRule="auto"/>
      </w:pPr>
      <w:r>
        <w:rPr>
          <w:rFonts w:ascii="Calibri" w:hAnsi="Calibri"/>
          <w:sz w:val="21"/>
        </w:rPr>
        <w:t>D30 — Architecture review with Head of AI candidate / advisor.</w:t>
      </w:r>
    </w:p>
    <w:p>
      <w:pPr>
        <w:pStyle w:val="ListBullet"/>
        <w:spacing w:after="40" w:line="288" w:lineRule="auto"/>
      </w:pPr>
      <w:r>
        <w:rPr>
          <w:rFonts w:ascii="Calibri" w:hAnsi="Calibri"/>
          <w:sz w:val="21"/>
        </w:rPr>
        <w:t>D45 — POC pipeline: Azure Document Intelligence on 1,000 sample Polish invoices, classification rate measured.</w:t>
      </w:r>
    </w:p>
    <w:p>
      <w:pPr>
        <w:pStyle w:val="ListBullet"/>
        <w:spacing w:after="40" w:line="288" w:lineRule="auto"/>
      </w:pPr>
      <w:r>
        <w:rPr>
          <w:rFonts w:ascii="Calibri" w:hAnsi="Calibri"/>
          <w:sz w:val="21"/>
        </w:rPr>
        <w:t>D60 — Decision: build-or-partner on classification model. Default: API-based GPT-4o + Document Intelligence, fine-tune in Y2.</w:t>
      </w:r>
    </w:p>
    <w:p>
      <w:pPr>
        <w:spacing w:before="200" w:after="40"/>
      </w:pPr>
      <w:r>
        <w:rPr>
          <w:rFonts w:ascii="Calibri" w:hAnsi="Calibri"/>
          <w:b/>
          <w:color w:val="FF6B35"/>
          <w:sz w:val="23"/>
        </w:rPr>
        <w:t>Brand and presence</w:t>
      </w:r>
    </w:p>
    <w:p>
      <w:pPr>
        <w:pStyle w:val="ListBullet"/>
        <w:spacing w:after="40" w:line="288" w:lineRule="auto"/>
      </w:pPr>
      <w:r>
        <w:rPr>
          <w:rFonts w:ascii="Calibri" w:hAnsi="Calibri"/>
          <w:sz w:val="21"/>
        </w:rPr>
        <w:t>D35 — Ledger brand identity finalized (name, logo, single-page website, founder LinkedIn alignment).</w:t>
      </w:r>
    </w:p>
    <w:p>
      <w:pPr>
        <w:pStyle w:val="ListBullet"/>
        <w:spacing w:after="40" w:line="288" w:lineRule="auto"/>
      </w:pPr>
      <w:r>
        <w:rPr>
          <w:rFonts w:ascii="Calibri" w:hAnsi="Calibri"/>
          <w:sz w:val="21"/>
        </w:rPr>
        <w:t>D50 — Single-page site live (ledger.holdings or similar) with M&amp;A inquiry CTA.</w:t>
      </w:r>
    </w:p>
    <w:p>
      <w:pPr>
        <w:spacing w:before="280" w:after="80"/>
      </w:pPr>
      <w:r>
        <w:rPr>
          <w:rFonts w:ascii="Calibri" w:hAnsi="Calibri"/>
          <w:b/>
          <w:color w:val="1F3A5F"/>
          <w:sz w:val="28"/>
        </w:rPr>
        <w:t>8.3  Phase 3 — Closing (D61–90)</w:t>
      </w:r>
    </w:p>
    <w:p>
      <w:pPr>
        <w:spacing w:before="200" w:after="40"/>
      </w:pPr>
      <w:r>
        <w:rPr>
          <w:rFonts w:ascii="Calibri" w:hAnsi="Calibri"/>
          <w:b/>
          <w:color w:val="FF6B35"/>
          <w:sz w:val="23"/>
        </w:rPr>
        <w:t>LEDGER-1 close (Poland)</w:t>
      </w:r>
    </w:p>
    <w:p>
      <w:pPr>
        <w:pStyle w:val="ListBullet"/>
        <w:spacing w:after="40" w:line="288" w:lineRule="auto"/>
      </w:pPr>
      <w:r>
        <w:rPr>
          <w:rFonts w:ascii="Calibri" w:hAnsi="Calibri"/>
          <w:sz w:val="21"/>
        </w:rPr>
        <w:t>D65 — Term sheet signed with first target.</w:t>
      </w:r>
    </w:p>
    <w:p>
      <w:pPr>
        <w:pStyle w:val="ListBullet"/>
        <w:spacing w:after="40" w:line="288" w:lineRule="auto"/>
      </w:pPr>
      <w:r>
        <w:rPr>
          <w:rFonts w:ascii="Calibri" w:hAnsi="Calibri"/>
          <w:sz w:val="21"/>
        </w:rPr>
        <w:t>D70 — Due diligence kickoff (commercial, financial, legal, ops, tech).</w:t>
      </w:r>
    </w:p>
    <w:p>
      <w:pPr>
        <w:pStyle w:val="ListBullet"/>
        <w:spacing w:after="40" w:line="288" w:lineRule="auto"/>
      </w:pPr>
      <w:r>
        <w:rPr>
          <w:rFonts w:ascii="Calibri" w:hAnsi="Calibri"/>
          <w:sz w:val="21"/>
        </w:rPr>
        <w:t>D75 — Reps &amp; warranties insurance bound.</w:t>
      </w:r>
    </w:p>
    <w:p>
      <w:pPr>
        <w:pStyle w:val="ListBullet"/>
        <w:spacing w:after="40" w:line="288" w:lineRule="auto"/>
      </w:pPr>
      <w:r>
        <w:rPr>
          <w:rFonts w:ascii="Calibri" w:hAnsi="Calibri"/>
          <w:sz w:val="21"/>
        </w:rPr>
        <w:t>D80 — Final SPA negotiated.</w:t>
      </w:r>
    </w:p>
    <w:p>
      <w:pPr>
        <w:pStyle w:val="ListBullet"/>
        <w:spacing w:after="40" w:line="288" w:lineRule="auto"/>
      </w:pPr>
      <w:r>
        <w:rPr>
          <w:rFonts w:ascii="Calibri" w:hAnsi="Calibri"/>
          <w:sz w:val="21"/>
        </w:rPr>
        <w:t>D85 — Closing.</w:t>
      </w:r>
    </w:p>
    <w:p>
      <w:pPr>
        <w:pStyle w:val="ListBullet"/>
        <w:spacing w:after="40" w:line="288" w:lineRule="auto"/>
      </w:pPr>
      <w:r>
        <w:rPr>
          <w:rFonts w:ascii="Calibri" w:hAnsi="Calibri"/>
          <w:sz w:val="21"/>
        </w:rPr>
        <w:t>D87 — Welcome week kickoff (Day-30 playbook starts).</w:t>
      </w:r>
    </w:p>
    <w:p>
      <w:pPr>
        <w:spacing w:before="200" w:after="40"/>
      </w:pPr>
      <w:r>
        <w:rPr>
          <w:rFonts w:ascii="Calibri" w:hAnsi="Calibri"/>
          <w:b/>
          <w:color w:val="FF6B35"/>
          <w:sz w:val="23"/>
        </w:rPr>
        <w:t>Series A prep</w:t>
      </w:r>
    </w:p>
    <w:p>
      <w:pPr>
        <w:pStyle w:val="ListBullet"/>
        <w:spacing w:after="40" w:line="288" w:lineRule="auto"/>
      </w:pPr>
      <w:r>
        <w:rPr>
          <w:rFonts w:ascii="Calibri" w:hAnsi="Calibri"/>
          <w:sz w:val="21"/>
        </w:rPr>
        <w:t>D70 — Series A deck refined with LEDGER-1 data points.</w:t>
      </w:r>
    </w:p>
    <w:p>
      <w:pPr>
        <w:pStyle w:val="ListBullet"/>
        <w:spacing w:after="40" w:line="288" w:lineRule="auto"/>
      </w:pPr>
      <w:r>
        <w:rPr>
          <w:rFonts w:ascii="Calibri" w:hAnsi="Calibri"/>
          <w:sz w:val="21"/>
        </w:rPr>
        <w:t>D75 — Investor longlist (30 funds): Hg, EQT, Vista, Visma direct, Mercia, Tilia, Innovestor, Notion.</w:t>
      </w:r>
    </w:p>
    <w:p>
      <w:pPr>
        <w:pStyle w:val="ListBullet"/>
        <w:spacing w:after="40" w:line="288" w:lineRule="auto"/>
      </w:pPr>
      <w:r>
        <w:rPr>
          <w:rFonts w:ascii="Calibri" w:hAnsi="Calibri"/>
          <w:sz w:val="21"/>
        </w:rPr>
        <w:t>D85 — First investor meetings booked.</w:t>
      </w:r>
    </w:p>
    <w:p>
      <w:pPr>
        <w:spacing w:before="280" w:after="80"/>
      </w:pPr>
      <w:r>
        <w:rPr>
          <w:rFonts w:ascii="Calibri" w:hAnsi="Calibri"/>
          <w:b/>
          <w:color w:val="1F3A5F"/>
          <w:sz w:val="28"/>
        </w:rPr>
        <w:t>8.4  Phase 4 — Scale prep (D91–100)</w:t>
      </w:r>
    </w:p>
    <w:p>
      <w:pPr>
        <w:spacing w:before="200" w:after="40"/>
      </w:pPr>
      <w:r>
        <w:rPr>
          <w:rFonts w:ascii="Calibri" w:hAnsi="Calibri"/>
          <w:b/>
          <w:color w:val="FF6B35"/>
          <w:sz w:val="23"/>
        </w:rPr>
        <w:t>Operations</w:t>
      </w:r>
    </w:p>
    <w:p>
      <w:pPr>
        <w:pStyle w:val="ListBullet"/>
        <w:spacing w:after="40" w:line="288" w:lineRule="auto"/>
      </w:pPr>
      <w:r>
        <w:rPr>
          <w:rFonts w:ascii="Calibri" w:hAnsi="Calibri"/>
          <w:sz w:val="21"/>
        </w:rPr>
        <w:t>D92 — LEDGER-1 first 30-day review.</w:t>
      </w:r>
    </w:p>
    <w:p>
      <w:pPr>
        <w:pStyle w:val="ListBullet"/>
        <w:spacing w:after="40" w:line="288" w:lineRule="auto"/>
      </w:pPr>
      <w:r>
        <w:rPr>
          <w:rFonts w:ascii="Calibri" w:hAnsi="Calibri"/>
          <w:sz w:val="21"/>
        </w:rPr>
        <w:t>D95 — Second target LOI in flight (LEDGER-2).</w:t>
      </w:r>
    </w:p>
    <w:p>
      <w:pPr>
        <w:pStyle w:val="ListBullet"/>
        <w:spacing w:after="40" w:line="288" w:lineRule="auto"/>
      </w:pPr>
      <w:r>
        <w:rPr>
          <w:rFonts w:ascii="Calibri" w:hAnsi="Calibri"/>
          <w:sz w:val="21"/>
        </w:rPr>
        <w:t>D98 — Cyprus target (LEDGER-CY-1) screening starts.</w:t>
      </w:r>
    </w:p>
    <w:p>
      <w:pPr>
        <w:spacing w:before="200" w:after="40"/>
      </w:pPr>
      <w:r>
        <w:rPr>
          <w:rFonts w:ascii="Calibri" w:hAnsi="Calibri"/>
          <w:b/>
          <w:color w:val="FF6B35"/>
          <w:sz w:val="23"/>
        </w:rPr>
        <w:t>Capital</w:t>
      </w:r>
    </w:p>
    <w:p>
      <w:pPr>
        <w:pStyle w:val="ListBullet"/>
        <w:spacing w:after="40" w:line="288" w:lineRule="auto"/>
      </w:pPr>
      <w:r>
        <w:rPr>
          <w:rFonts w:ascii="Calibri" w:hAnsi="Calibri"/>
          <w:sz w:val="21"/>
        </w:rPr>
        <w:t>D95 — Series A first round of partner meetings.</w:t>
      </w:r>
    </w:p>
    <w:p>
      <w:pPr>
        <w:pStyle w:val="ListBullet"/>
        <w:spacing w:after="40" w:line="288" w:lineRule="auto"/>
      </w:pPr>
      <w:r>
        <w:rPr>
          <w:rFonts w:ascii="Calibri" w:hAnsi="Calibri"/>
          <w:sz w:val="21"/>
        </w:rPr>
        <w:t>D100 — Series A term sheets requested (target close month 9).</w:t>
      </w:r>
    </w:p>
    <w:p>
      <w:r>
        <w:br w:type="page"/>
      </w:r>
    </w:p>
    <w:p>
      <w:pPr>
        <w:spacing w:before="360" w:after="120"/>
      </w:pPr>
      <w:r>
        <w:rPr>
          <w:rFonts w:ascii="Calibri" w:hAnsi="Calibri"/>
          <w:b/>
          <w:color w:val="1F3A5F"/>
          <w:sz w:val="40"/>
        </w:rPr>
        <w:t>9. Capital Plan and Returns</w:t>
      </w:r>
    </w:p>
    <w:p>
      <w:pPr>
        <w:spacing w:before="280" w:after="80"/>
      </w:pPr>
      <w:r>
        <w:rPr>
          <w:rFonts w:ascii="Calibri" w:hAnsi="Calibri"/>
          <w:b/>
          <w:color w:val="1F3A5F"/>
          <w:sz w:val="28"/>
        </w:rPr>
        <w:t>9.1  Funding sequence</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949"/>
        <w:gridCol w:w="1949"/>
        <w:gridCol w:w="1949"/>
        <w:gridCol w:w="1949"/>
        <w:gridCol w:w="1949"/>
      </w:tblGrid>
      <w:tr>
        <w:tc>
          <w:tcPr>
            <w:tcW w:type="dxa" w:w="1984"/>
            <w:shd w:val="clear" w:color="auto" w:fill="1F3A5F"/>
            <w:vAlign w:val="center"/>
          </w:tcPr>
          <w:p>
            <w:r/>
            <w:r>
              <w:rPr>
                <w:rFonts w:ascii="Calibri" w:hAnsi="Calibri"/>
                <w:b/>
                <w:color w:val="FFFFFF"/>
                <w:sz w:val="20"/>
              </w:rPr>
              <w:t>Round</w:t>
            </w:r>
          </w:p>
        </w:tc>
        <w:tc>
          <w:tcPr>
            <w:tcW w:type="dxa" w:w="1417"/>
            <w:shd w:val="clear" w:color="auto" w:fill="1F3A5F"/>
            <w:vAlign w:val="center"/>
          </w:tcPr>
          <w:p>
            <w:r/>
            <w:r>
              <w:rPr>
                <w:rFonts w:ascii="Calibri" w:hAnsi="Calibri"/>
                <w:b/>
                <w:color w:val="FFFFFF"/>
                <w:sz w:val="20"/>
              </w:rPr>
              <w:t>Timing</w:t>
            </w:r>
          </w:p>
        </w:tc>
        <w:tc>
          <w:tcPr>
            <w:tcW w:type="dxa" w:w="1134"/>
            <w:shd w:val="clear" w:color="auto" w:fill="1F3A5F"/>
            <w:vAlign w:val="center"/>
          </w:tcPr>
          <w:p>
            <w:r/>
            <w:r>
              <w:rPr>
                <w:rFonts w:ascii="Calibri" w:hAnsi="Calibri"/>
                <w:b/>
                <w:color w:val="FFFFFF"/>
                <w:sz w:val="20"/>
              </w:rPr>
              <w:t>Size</w:t>
            </w:r>
          </w:p>
        </w:tc>
        <w:tc>
          <w:tcPr>
            <w:tcW w:type="dxa" w:w="1417"/>
            <w:shd w:val="clear" w:color="auto" w:fill="1F3A5F"/>
            <w:vAlign w:val="center"/>
          </w:tcPr>
          <w:p>
            <w:r/>
            <w:r>
              <w:rPr>
                <w:rFonts w:ascii="Calibri" w:hAnsi="Calibri"/>
                <w:b/>
                <w:color w:val="FFFFFF"/>
                <w:sz w:val="20"/>
              </w:rPr>
              <w:t>Pre-money</w:t>
            </w:r>
          </w:p>
        </w:tc>
        <w:tc>
          <w:tcPr>
            <w:tcW w:type="dxa" w:w="2835"/>
            <w:shd w:val="clear" w:color="auto" w:fill="1F3A5F"/>
            <w:vAlign w:val="center"/>
          </w:tcPr>
          <w:p>
            <w:r/>
            <w:r>
              <w:rPr>
                <w:rFonts w:ascii="Calibri" w:hAnsi="Calibri"/>
                <w:b/>
                <w:color w:val="FFFFFF"/>
                <w:sz w:val="20"/>
              </w:rPr>
              <w:t>Use of funds</w:t>
            </w:r>
          </w:p>
        </w:tc>
      </w:tr>
      <w:tr>
        <w:tc>
          <w:tcPr>
            <w:tcW w:type="dxa" w:w="1984"/>
            <w:vAlign w:val="center"/>
          </w:tcPr>
          <w:p>
            <w:r/>
            <w:r>
              <w:rPr>
                <w:rFonts w:ascii="Calibri" w:hAnsi="Calibri"/>
                <w:sz w:val="19"/>
              </w:rPr>
              <w:t>Founder + Angels (SAFE)</w:t>
            </w:r>
          </w:p>
        </w:tc>
        <w:tc>
          <w:tcPr>
            <w:tcW w:type="dxa" w:w="1417"/>
            <w:vAlign w:val="center"/>
          </w:tcPr>
          <w:p>
            <w:r/>
            <w:r>
              <w:rPr>
                <w:rFonts w:ascii="Calibri" w:hAnsi="Calibri"/>
                <w:sz w:val="19"/>
              </w:rPr>
              <w:t>Day 1</w:t>
            </w:r>
          </w:p>
        </w:tc>
        <w:tc>
          <w:tcPr>
            <w:tcW w:type="dxa" w:w="1134"/>
            <w:vAlign w:val="center"/>
          </w:tcPr>
          <w:p>
            <w:r/>
            <w:r>
              <w:rPr>
                <w:rFonts w:ascii="Calibri" w:hAnsi="Calibri"/>
                <w:sz w:val="19"/>
              </w:rPr>
              <w:t>€250k</w:t>
            </w:r>
          </w:p>
        </w:tc>
        <w:tc>
          <w:tcPr>
            <w:tcW w:type="dxa" w:w="1417"/>
            <w:vAlign w:val="center"/>
          </w:tcPr>
          <w:p>
            <w:r/>
            <w:r>
              <w:rPr>
                <w:rFonts w:ascii="Calibri" w:hAnsi="Calibri"/>
                <w:sz w:val="19"/>
              </w:rPr>
              <w:t>n/a (SAFE)</w:t>
            </w:r>
          </w:p>
        </w:tc>
        <w:tc>
          <w:tcPr>
            <w:tcW w:type="dxa" w:w="2835"/>
            <w:vAlign w:val="center"/>
          </w:tcPr>
          <w:p>
            <w:r/>
            <w:r>
              <w:rPr>
                <w:rFonts w:ascii="Calibri" w:hAnsi="Calibri"/>
                <w:sz w:val="19"/>
              </w:rPr>
              <w:t>Setup, first hires, target sourcing</w:t>
            </w:r>
          </w:p>
        </w:tc>
      </w:tr>
      <w:tr>
        <w:tc>
          <w:tcPr>
            <w:tcW w:type="dxa" w:w="1984"/>
            <w:shd w:val="clear" w:color="auto" w:fill="F4F6F9"/>
            <w:vAlign w:val="center"/>
          </w:tcPr>
          <w:p>
            <w:r/>
            <w:r>
              <w:rPr>
                <w:rFonts w:ascii="Calibri" w:hAnsi="Calibri"/>
                <w:sz w:val="19"/>
              </w:rPr>
              <w:t>Seed extension</w:t>
            </w:r>
          </w:p>
        </w:tc>
        <w:tc>
          <w:tcPr>
            <w:tcW w:type="dxa" w:w="1417"/>
            <w:shd w:val="clear" w:color="auto" w:fill="F4F6F9"/>
            <w:vAlign w:val="center"/>
          </w:tcPr>
          <w:p>
            <w:r/>
            <w:r>
              <w:rPr>
                <w:rFonts w:ascii="Calibri" w:hAnsi="Calibri"/>
                <w:sz w:val="19"/>
              </w:rPr>
              <w:t>Day 90</w:t>
            </w:r>
          </w:p>
        </w:tc>
        <w:tc>
          <w:tcPr>
            <w:tcW w:type="dxa" w:w="1134"/>
            <w:shd w:val="clear" w:color="auto" w:fill="F4F6F9"/>
            <w:vAlign w:val="center"/>
          </w:tcPr>
          <w:p>
            <w:r/>
            <w:r>
              <w:rPr>
                <w:rFonts w:ascii="Calibri" w:hAnsi="Calibri"/>
                <w:sz w:val="19"/>
              </w:rPr>
              <w:t>€750k</w:t>
            </w:r>
          </w:p>
        </w:tc>
        <w:tc>
          <w:tcPr>
            <w:tcW w:type="dxa" w:w="1417"/>
            <w:shd w:val="clear" w:color="auto" w:fill="F4F6F9"/>
            <w:vAlign w:val="center"/>
          </w:tcPr>
          <w:p>
            <w:r/>
            <w:r>
              <w:rPr>
                <w:rFonts w:ascii="Calibri" w:hAnsi="Calibri"/>
                <w:sz w:val="19"/>
              </w:rPr>
              <w:t>€4.5M</w:t>
            </w:r>
          </w:p>
        </w:tc>
        <w:tc>
          <w:tcPr>
            <w:tcW w:type="dxa" w:w="2835"/>
            <w:shd w:val="clear" w:color="auto" w:fill="F4F6F9"/>
            <w:vAlign w:val="center"/>
          </w:tcPr>
          <w:p>
            <w:r/>
            <w:r>
              <w:rPr>
                <w:rFonts w:ascii="Calibri" w:hAnsi="Calibri"/>
                <w:sz w:val="19"/>
              </w:rPr>
              <w:t>LEDGER-1 deal equity, integration team</w:t>
            </w:r>
          </w:p>
        </w:tc>
      </w:tr>
      <w:tr>
        <w:tc>
          <w:tcPr>
            <w:tcW w:type="dxa" w:w="1984"/>
            <w:vAlign w:val="center"/>
          </w:tcPr>
          <w:p>
            <w:r/>
            <w:r>
              <w:rPr>
                <w:rFonts w:ascii="Calibri" w:hAnsi="Calibri"/>
                <w:sz w:val="19"/>
              </w:rPr>
              <w:t>Series A</w:t>
            </w:r>
          </w:p>
        </w:tc>
        <w:tc>
          <w:tcPr>
            <w:tcW w:type="dxa" w:w="1417"/>
            <w:vAlign w:val="center"/>
          </w:tcPr>
          <w:p>
            <w:r/>
            <w:r>
              <w:rPr>
                <w:rFonts w:ascii="Calibri" w:hAnsi="Calibri"/>
                <w:sz w:val="19"/>
              </w:rPr>
              <w:t>Month 9</w:t>
            </w:r>
          </w:p>
        </w:tc>
        <w:tc>
          <w:tcPr>
            <w:tcW w:type="dxa" w:w="1134"/>
            <w:vAlign w:val="center"/>
          </w:tcPr>
          <w:p>
            <w:r/>
            <w:r>
              <w:rPr>
                <w:rFonts w:ascii="Calibri" w:hAnsi="Calibri"/>
                <w:sz w:val="19"/>
              </w:rPr>
              <w:t>€6.0M</w:t>
            </w:r>
          </w:p>
        </w:tc>
        <w:tc>
          <w:tcPr>
            <w:tcW w:type="dxa" w:w="1417"/>
            <w:vAlign w:val="center"/>
          </w:tcPr>
          <w:p>
            <w:r/>
            <w:r>
              <w:rPr>
                <w:rFonts w:ascii="Calibri" w:hAnsi="Calibri"/>
                <w:sz w:val="19"/>
              </w:rPr>
              <w:t>€12M</w:t>
            </w:r>
          </w:p>
        </w:tc>
        <w:tc>
          <w:tcPr>
            <w:tcW w:type="dxa" w:w="2835"/>
            <w:vAlign w:val="center"/>
          </w:tcPr>
          <w:p>
            <w:r/>
            <w:r>
              <w:rPr>
                <w:rFonts w:ascii="Calibri" w:hAnsi="Calibri"/>
                <w:sz w:val="19"/>
              </w:rPr>
              <w:t>LEDGER-2..-4 deal equity, AI build, Italy entry</w:t>
            </w:r>
          </w:p>
        </w:tc>
      </w:tr>
      <w:tr>
        <w:tc>
          <w:tcPr>
            <w:tcW w:type="dxa" w:w="1984"/>
            <w:shd w:val="clear" w:color="auto" w:fill="F4F6F9"/>
            <w:vAlign w:val="center"/>
          </w:tcPr>
          <w:p>
            <w:r/>
            <w:r>
              <w:rPr>
                <w:rFonts w:ascii="Calibri" w:hAnsi="Calibri"/>
                <w:sz w:val="19"/>
              </w:rPr>
              <w:t>Senior debt facility</w:t>
            </w:r>
          </w:p>
        </w:tc>
        <w:tc>
          <w:tcPr>
            <w:tcW w:type="dxa" w:w="1417"/>
            <w:shd w:val="clear" w:color="auto" w:fill="F4F6F9"/>
            <w:vAlign w:val="center"/>
          </w:tcPr>
          <w:p>
            <w:r/>
            <w:r>
              <w:rPr>
                <w:rFonts w:ascii="Calibri" w:hAnsi="Calibri"/>
                <w:sz w:val="19"/>
              </w:rPr>
              <w:t>Month 12</w:t>
            </w:r>
          </w:p>
        </w:tc>
        <w:tc>
          <w:tcPr>
            <w:tcW w:type="dxa" w:w="1134"/>
            <w:shd w:val="clear" w:color="auto" w:fill="F4F6F9"/>
            <w:vAlign w:val="center"/>
          </w:tcPr>
          <w:p>
            <w:r/>
            <w:r>
              <w:rPr>
                <w:rFonts w:ascii="Calibri" w:hAnsi="Calibri"/>
                <w:sz w:val="19"/>
              </w:rPr>
              <w:t>€8.0M</w:t>
            </w:r>
          </w:p>
        </w:tc>
        <w:tc>
          <w:tcPr>
            <w:tcW w:type="dxa" w:w="1417"/>
            <w:shd w:val="clear" w:color="auto" w:fill="F4F6F9"/>
            <w:vAlign w:val="center"/>
          </w:tcPr>
          <w:p>
            <w:r/>
            <w:r>
              <w:rPr>
                <w:rFonts w:ascii="Calibri" w:hAnsi="Calibri"/>
                <w:sz w:val="19"/>
              </w:rPr>
              <w:t>n/a (debt)</w:t>
            </w:r>
          </w:p>
        </w:tc>
        <w:tc>
          <w:tcPr>
            <w:tcW w:type="dxa" w:w="2835"/>
            <w:shd w:val="clear" w:color="auto" w:fill="F4F6F9"/>
            <w:vAlign w:val="center"/>
          </w:tcPr>
          <w:p>
            <w:r/>
            <w:r>
              <w:rPr>
                <w:rFonts w:ascii="Calibri" w:hAnsi="Calibri"/>
                <w:sz w:val="19"/>
              </w:rPr>
              <w:t>Levered acquisitions FY27+ at EURIBOR+600</w:t>
            </w:r>
          </w:p>
        </w:tc>
      </w:tr>
      <w:tr>
        <w:tc>
          <w:tcPr>
            <w:tcW w:type="dxa" w:w="1984"/>
            <w:vAlign w:val="center"/>
          </w:tcPr>
          <w:p>
            <w:r/>
            <w:r>
              <w:rPr>
                <w:rFonts w:ascii="Calibri" w:hAnsi="Calibri"/>
                <w:sz w:val="19"/>
              </w:rPr>
              <w:t>Series B (optional)</w:t>
            </w:r>
          </w:p>
        </w:tc>
        <w:tc>
          <w:tcPr>
            <w:tcW w:type="dxa" w:w="1417"/>
            <w:vAlign w:val="center"/>
          </w:tcPr>
          <w:p>
            <w:r/>
            <w:r>
              <w:rPr>
                <w:rFonts w:ascii="Calibri" w:hAnsi="Calibri"/>
                <w:sz w:val="19"/>
              </w:rPr>
              <w:t>Month 30</w:t>
            </w:r>
          </w:p>
        </w:tc>
        <w:tc>
          <w:tcPr>
            <w:tcW w:type="dxa" w:w="1134"/>
            <w:vAlign w:val="center"/>
          </w:tcPr>
          <w:p>
            <w:r/>
            <w:r>
              <w:rPr>
                <w:rFonts w:ascii="Calibri" w:hAnsi="Calibri"/>
                <w:sz w:val="19"/>
              </w:rPr>
              <w:t>€15–20M</w:t>
            </w:r>
          </w:p>
        </w:tc>
        <w:tc>
          <w:tcPr>
            <w:tcW w:type="dxa" w:w="1417"/>
            <w:vAlign w:val="center"/>
          </w:tcPr>
          <w:p>
            <w:r/>
            <w:r>
              <w:rPr>
                <w:rFonts w:ascii="Calibri" w:hAnsi="Calibri"/>
                <w:sz w:val="19"/>
              </w:rPr>
              <w:t>€55–70M</w:t>
            </w:r>
          </w:p>
        </w:tc>
        <w:tc>
          <w:tcPr>
            <w:tcW w:type="dxa" w:w="2835"/>
            <w:vAlign w:val="center"/>
          </w:tcPr>
          <w:p>
            <w:r/>
            <w:r>
              <w:rPr>
                <w:rFonts w:ascii="Calibri" w:hAnsi="Calibri"/>
                <w:sz w:val="19"/>
              </w:rPr>
              <w:t>Italy scale, platform build, US entry</w:t>
            </w:r>
          </w:p>
        </w:tc>
      </w:tr>
    </w:tbl>
    <w:p>
      <w:pPr>
        <w:spacing w:before="280" w:after="80"/>
      </w:pPr>
      <w:r>
        <w:rPr>
          <w:rFonts w:ascii="Calibri" w:hAnsi="Calibri"/>
          <w:b/>
          <w:color w:val="1F3A5F"/>
          <w:sz w:val="28"/>
        </w:rPr>
        <w:t>9.2  Returns waterfall</w:t>
      </w:r>
    </w:p>
    <w:p>
      <w:pPr>
        <w:spacing w:after="80" w:line="300" w:lineRule="auto"/>
      </w:pPr>
      <w:r>
        <w:rPr>
          <w:rFonts w:ascii="Calibri" w:hAnsi="Calibri"/>
          <w:b w:val="0"/>
          <w:i w:val="0"/>
          <w:color w:val="101010"/>
          <w:sz w:val="21"/>
        </w:rPr>
        <w:t>Base case (per attached financial model):</w:t>
      </w:r>
    </w:p>
    <w:p>
      <w:pPr>
        <w:pStyle w:val="ListBullet"/>
        <w:spacing w:after="40" w:line="288" w:lineRule="auto"/>
      </w:pPr>
      <w:r>
        <w:rPr>
          <w:rFonts w:ascii="Calibri" w:hAnsi="Calibri"/>
          <w:sz w:val="21"/>
        </w:rPr>
        <w:t>FY30 revenue: ~€33M (organic + 14 acquired practices)</w:t>
      </w:r>
    </w:p>
    <w:p>
      <w:pPr>
        <w:pStyle w:val="ListBullet"/>
        <w:spacing w:after="40" w:line="288" w:lineRule="auto"/>
      </w:pPr>
      <w:r>
        <w:rPr>
          <w:rFonts w:ascii="Calibri" w:hAnsi="Calibri"/>
          <w:sz w:val="21"/>
        </w:rPr>
        <w:t>FY30 EBITDA: ~€11M (33% margin, AI-overlay expansion)</w:t>
      </w:r>
    </w:p>
    <w:p>
      <w:pPr>
        <w:pStyle w:val="ListBullet"/>
        <w:spacing w:after="40" w:line="288" w:lineRule="auto"/>
      </w:pPr>
      <w:r>
        <w:rPr>
          <w:rFonts w:ascii="Calibri" w:hAnsi="Calibri"/>
          <w:sz w:val="21"/>
        </w:rPr>
        <w:t>Exit at 10× EBITDA: EV ~€110M</w:t>
      </w:r>
    </w:p>
    <w:p>
      <w:pPr>
        <w:pStyle w:val="ListBullet"/>
        <w:spacing w:after="40" w:line="288" w:lineRule="auto"/>
      </w:pPr>
      <w:r>
        <w:rPr>
          <w:rFonts w:ascii="Calibri" w:hAnsi="Calibri"/>
          <w:sz w:val="21"/>
        </w:rPr>
        <w:t>Net debt at exit: ~€18M</w:t>
      </w:r>
    </w:p>
    <w:p>
      <w:pPr>
        <w:pStyle w:val="ListBullet"/>
        <w:spacing w:after="40" w:line="288" w:lineRule="auto"/>
      </w:pPr>
      <w:r>
        <w:rPr>
          <w:rFonts w:ascii="Calibri" w:hAnsi="Calibri"/>
          <w:sz w:val="21"/>
        </w:rPr>
        <w:t>Equity value at exit: ~€92M</w:t>
      </w:r>
    </w:p>
    <w:p>
      <w:pPr>
        <w:pStyle w:val="ListBullet"/>
        <w:spacing w:after="40" w:line="288" w:lineRule="auto"/>
      </w:pPr>
      <w:r>
        <w:rPr>
          <w:rFonts w:ascii="Calibri" w:hAnsi="Calibri"/>
          <w:sz w:val="21"/>
        </w:rPr>
        <w:t>Total equity raised (Seed + Seed-Ex + Series A): €7.0M</w:t>
      </w:r>
    </w:p>
    <w:p>
      <w:pPr>
        <w:pStyle w:val="ListBullet"/>
        <w:spacing w:after="40" w:line="288" w:lineRule="auto"/>
      </w:pPr>
      <w:r>
        <w:rPr>
          <w:rFonts w:ascii="Calibri" w:hAnsi="Calibri"/>
          <w:sz w:val="21"/>
        </w:rPr>
        <w:t>Gross MoIC: ~13×; Net to Series A (after dilution): ~5.5×</w:t>
      </w:r>
    </w:p>
    <w:p>
      <w:pPr>
        <w:pStyle w:val="ListBullet"/>
        <w:spacing w:after="40" w:line="288" w:lineRule="auto"/>
      </w:pPr>
      <w:r>
        <w:rPr>
          <w:rFonts w:ascii="Calibri" w:hAnsi="Calibri"/>
          <w:sz w:val="21"/>
        </w:rPr>
        <w:t>Series A IRR: 35–40%</w:t>
      </w:r>
    </w:p>
    <w:p>
      <w:pPr>
        <w:spacing w:before="280" w:after="80"/>
      </w:pPr>
      <w:r>
        <w:rPr>
          <w:rFonts w:ascii="Calibri" w:hAnsi="Calibri"/>
          <w:b/>
          <w:color w:val="1F3A5F"/>
          <w:sz w:val="28"/>
        </w:rPr>
        <w:t>9.3  Sensitivity (excerpt)</w:t>
      </w:r>
    </w:p>
    <w:p>
      <w:pPr>
        <w:spacing w:after="80" w:line="300" w:lineRule="auto"/>
      </w:pPr>
      <w:r>
        <w:rPr>
          <w:rFonts w:ascii="Calibri" w:hAnsi="Calibri"/>
          <w:b w:val="0"/>
          <w:i w:val="0"/>
          <w:color w:val="101010"/>
          <w:sz w:val="21"/>
        </w:rPr>
        <w:t>A 1× change in exit multiple moves equity value by ~€11M; a 1pp change in EBITDA margin moves equity value by ~€3M. Full 5×5 sensitivity grid in model tab "Sensitivity".</w:t>
      </w:r>
    </w:p>
    <w:p>
      <w:r>
        <w:br w:type="page"/>
      </w:r>
    </w:p>
    <w:p>
      <w:pPr>
        <w:spacing w:before="360" w:after="120"/>
      </w:pPr>
      <w:r>
        <w:rPr>
          <w:rFonts w:ascii="Calibri" w:hAnsi="Calibri"/>
          <w:b/>
          <w:color w:val="1F3A5F"/>
          <w:sz w:val="40"/>
        </w:rPr>
        <w:t>10. Risks and Mitigations</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1F3A5F"/>
            <w:vAlign w:val="center"/>
          </w:tcPr>
          <w:p>
            <w:r/>
            <w:r>
              <w:rPr>
                <w:rFonts w:ascii="Calibri" w:hAnsi="Calibri"/>
                <w:b/>
                <w:color w:val="FFFFFF"/>
                <w:sz w:val="20"/>
              </w:rPr>
              <w:t>Risk</w:t>
            </w:r>
          </w:p>
        </w:tc>
        <w:tc>
          <w:tcPr>
            <w:tcW w:type="dxa" w:w="1134"/>
            <w:shd w:val="clear" w:color="auto" w:fill="1F3A5F"/>
            <w:vAlign w:val="center"/>
          </w:tcPr>
          <w:p>
            <w:r/>
            <w:r>
              <w:rPr>
                <w:rFonts w:ascii="Calibri" w:hAnsi="Calibri"/>
                <w:b/>
                <w:color w:val="FFFFFF"/>
                <w:sz w:val="20"/>
              </w:rPr>
              <w:t>Likelihood</w:t>
            </w:r>
          </w:p>
        </w:tc>
        <w:tc>
          <w:tcPr>
            <w:tcW w:type="dxa" w:w="1134"/>
            <w:shd w:val="clear" w:color="auto" w:fill="1F3A5F"/>
            <w:vAlign w:val="center"/>
          </w:tcPr>
          <w:p>
            <w:r/>
            <w:r>
              <w:rPr>
                <w:rFonts w:ascii="Calibri" w:hAnsi="Calibri"/>
                <w:b/>
                <w:color w:val="FFFFFF"/>
                <w:sz w:val="20"/>
              </w:rPr>
              <w:t>Impact</w:t>
            </w:r>
          </w:p>
        </w:tc>
        <w:tc>
          <w:tcPr>
            <w:tcW w:type="dxa" w:w="3969"/>
            <w:shd w:val="clear" w:color="auto" w:fill="1F3A5F"/>
            <w:vAlign w:val="center"/>
          </w:tcPr>
          <w:p>
            <w:r/>
            <w:r>
              <w:rPr>
                <w:rFonts w:ascii="Calibri" w:hAnsi="Calibri"/>
                <w:b/>
                <w:color w:val="FFFFFF"/>
                <w:sz w:val="20"/>
              </w:rPr>
              <w:t>Mitigation</w:t>
            </w:r>
          </w:p>
        </w:tc>
      </w:tr>
      <w:tr>
        <w:tc>
          <w:tcPr>
            <w:tcW w:type="dxa" w:w="2268"/>
            <w:vAlign w:val="center"/>
          </w:tcPr>
          <w:p>
            <w:r/>
            <w:r>
              <w:rPr>
                <w:rFonts w:ascii="Calibri" w:hAnsi="Calibri"/>
                <w:sz w:val="19"/>
              </w:rPr>
              <w:t>Visma enters sub-€5M segment</w:t>
            </w:r>
          </w:p>
        </w:tc>
        <w:tc>
          <w:tcPr>
            <w:tcW w:type="dxa" w:w="1134"/>
            <w:vAlign w:val="center"/>
          </w:tcPr>
          <w:p>
            <w:r/>
            <w:r>
              <w:rPr>
                <w:rFonts w:ascii="Calibri" w:hAnsi="Calibri"/>
                <w:sz w:val="19"/>
              </w:rPr>
              <w:t>Medium</w:t>
            </w:r>
          </w:p>
        </w:tc>
        <w:tc>
          <w:tcPr>
            <w:tcW w:type="dxa" w:w="1134"/>
            <w:vAlign w:val="center"/>
          </w:tcPr>
          <w:p>
            <w:r/>
            <w:r>
              <w:rPr>
                <w:rFonts w:ascii="Calibri" w:hAnsi="Calibri"/>
                <w:sz w:val="19"/>
              </w:rPr>
              <w:t>High</w:t>
            </w:r>
          </w:p>
        </w:tc>
        <w:tc>
          <w:tcPr>
            <w:tcW w:type="dxa" w:w="3969"/>
            <w:vAlign w:val="center"/>
          </w:tcPr>
          <w:p>
            <w:r/>
            <w:r>
              <w:rPr>
                <w:rFonts w:ascii="Calibri" w:hAnsi="Calibri"/>
                <w:sz w:val="19"/>
              </w:rPr>
              <w:t>Move fast on PL targets; build Series A 9-month timeline; differentiate on AI-overlay speed (90-day vs 24-month Visma platform)</w:t>
            </w:r>
          </w:p>
        </w:tc>
      </w:tr>
      <w:tr>
        <w:tc>
          <w:tcPr>
            <w:tcW w:type="dxa" w:w="2268"/>
            <w:shd w:val="clear" w:color="auto" w:fill="F4F6F9"/>
            <w:vAlign w:val="center"/>
          </w:tcPr>
          <w:p>
            <w:r/>
            <w:r>
              <w:rPr>
                <w:rFonts w:ascii="Calibri" w:hAnsi="Calibri"/>
                <w:sz w:val="19"/>
              </w:rPr>
              <w:t>KSeF launch delayed or scope changed</w:t>
            </w:r>
          </w:p>
        </w:tc>
        <w:tc>
          <w:tcPr>
            <w:tcW w:type="dxa" w:w="1134"/>
            <w:shd w:val="clear" w:color="auto" w:fill="F4F6F9"/>
            <w:vAlign w:val="center"/>
          </w:tcPr>
          <w:p>
            <w:r/>
            <w:r>
              <w:rPr>
                <w:rFonts w:ascii="Calibri" w:hAnsi="Calibri"/>
                <w:sz w:val="19"/>
              </w:rPr>
              <w:t>Medium</w:t>
            </w:r>
          </w:p>
        </w:tc>
        <w:tc>
          <w:tcPr>
            <w:tcW w:type="dxa" w:w="1134"/>
            <w:shd w:val="clear" w:color="auto" w:fill="F4F6F9"/>
            <w:vAlign w:val="center"/>
          </w:tcPr>
          <w:p>
            <w:r/>
            <w:r>
              <w:rPr>
                <w:rFonts w:ascii="Calibri" w:hAnsi="Calibri"/>
                <w:sz w:val="19"/>
              </w:rPr>
              <w:t>Medium</w:t>
            </w:r>
          </w:p>
        </w:tc>
        <w:tc>
          <w:tcPr>
            <w:tcW w:type="dxa" w:w="3969"/>
            <w:shd w:val="clear" w:color="auto" w:fill="F4F6F9"/>
            <w:vAlign w:val="center"/>
          </w:tcPr>
          <w:p>
            <w:r/>
            <w:r>
              <w:rPr>
                <w:rFonts w:ascii="Calibri" w:hAnsi="Calibri"/>
                <w:sz w:val="19"/>
              </w:rPr>
              <w:t>Sourcing thesis holds regardless (retirement pressure); but valuation compression risk if regulatory urgency drops</w:t>
            </w:r>
          </w:p>
        </w:tc>
      </w:tr>
      <w:tr>
        <w:tc>
          <w:tcPr>
            <w:tcW w:type="dxa" w:w="2268"/>
            <w:vAlign w:val="center"/>
          </w:tcPr>
          <w:p>
            <w:r/>
            <w:r>
              <w:rPr>
                <w:rFonts w:ascii="Calibri" w:hAnsi="Calibri"/>
                <w:sz w:val="19"/>
              </w:rPr>
              <w:t>AI model accuracy &lt; 70% on Polish invoices</w:t>
            </w:r>
          </w:p>
        </w:tc>
        <w:tc>
          <w:tcPr>
            <w:tcW w:type="dxa" w:w="1134"/>
            <w:vAlign w:val="center"/>
          </w:tcPr>
          <w:p>
            <w:r/>
            <w:r>
              <w:rPr>
                <w:rFonts w:ascii="Calibri" w:hAnsi="Calibri"/>
                <w:sz w:val="19"/>
              </w:rPr>
              <w:t>Low–Medium</w:t>
            </w:r>
          </w:p>
        </w:tc>
        <w:tc>
          <w:tcPr>
            <w:tcW w:type="dxa" w:w="1134"/>
            <w:vAlign w:val="center"/>
          </w:tcPr>
          <w:p>
            <w:r/>
            <w:r>
              <w:rPr>
                <w:rFonts w:ascii="Calibri" w:hAnsi="Calibri"/>
                <w:sz w:val="19"/>
              </w:rPr>
              <w:t>Medium</w:t>
            </w:r>
          </w:p>
        </w:tc>
        <w:tc>
          <w:tcPr>
            <w:tcW w:type="dxa" w:w="3969"/>
            <w:vAlign w:val="center"/>
          </w:tcPr>
          <w:p>
            <w:r/>
            <w:r>
              <w:rPr>
                <w:rFonts w:ascii="Calibri" w:hAnsi="Calibri"/>
                <w:sz w:val="19"/>
              </w:rPr>
              <w:t>Pre-build POC in D45; fall back to human-in-the-loop with 50% automation; renegotiate seller earnouts</w:t>
            </w:r>
          </w:p>
        </w:tc>
      </w:tr>
      <w:tr>
        <w:tc>
          <w:tcPr>
            <w:tcW w:type="dxa" w:w="2268"/>
            <w:shd w:val="clear" w:color="auto" w:fill="F4F6F9"/>
            <w:vAlign w:val="center"/>
          </w:tcPr>
          <w:p>
            <w:r/>
            <w:r>
              <w:rPr>
                <w:rFonts w:ascii="Calibri" w:hAnsi="Calibri"/>
                <w:sz w:val="19"/>
              </w:rPr>
              <w:t>Talent — fail to hire AI lead</w:t>
            </w:r>
          </w:p>
        </w:tc>
        <w:tc>
          <w:tcPr>
            <w:tcW w:type="dxa" w:w="1134"/>
            <w:shd w:val="clear" w:color="auto" w:fill="F4F6F9"/>
            <w:vAlign w:val="center"/>
          </w:tcPr>
          <w:p>
            <w:r/>
            <w:r>
              <w:rPr>
                <w:rFonts w:ascii="Calibri" w:hAnsi="Calibri"/>
                <w:sz w:val="19"/>
              </w:rPr>
              <w:t>Medium</w:t>
            </w:r>
          </w:p>
        </w:tc>
        <w:tc>
          <w:tcPr>
            <w:tcW w:type="dxa" w:w="1134"/>
            <w:shd w:val="clear" w:color="auto" w:fill="F4F6F9"/>
            <w:vAlign w:val="center"/>
          </w:tcPr>
          <w:p>
            <w:r/>
            <w:r>
              <w:rPr>
                <w:rFonts w:ascii="Calibri" w:hAnsi="Calibri"/>
                <w:sz w:val="19"/>
              </w:rPr>
              <w:t>High</w:t>
            </w:r>
          </w:p>
        </w:tc>
        <w:tc>
          <w:tcPr>
            <w:tcW w:type="dxa" w:w="3969"/>
            <w:shd w:val="clear" w:color="auto" w:fill="F4F6F9"/>
            <w:vAlign w:val="center"/>
          </w:tcPr>
          <w:p>
            <w:r/>
            <w:r>
              <w:rPr>
                <w:rFonts w:ascii="Calibri" w:hAnsi="Calibri"/>
                <w:sz w:val="19"/>
              </w:rPr>
              <w:t>Use fractional advisor first (3–6 months), full-time hire by month 5; alternative: partner with a Polish AI consultancy</w:t>
            </w:r>
          </w:p>
        </w:tc>
      </w:tr>
      <w:tr>
        <w:tc>
          <w:tcPr>
            <w:tcW w:type="dxa" w:w="2268"/>
            <w:vAlign w:val="center"/>
          </w:tcPr>
          <w:p>
            <w:r/>
            <w:r>
              <w:rPr>
                <w:rFonts w:ascii="Calibri" w:hAnsi="Calibri"/>
                <w:sz w:val="19"/>
              </w:rPr>
              <w:t>Seller earnout disputes</w:t>
            </w:r>
          </w:p>
        </w:tc>
        <w:tc>
          <w:tcPr>
            <w:tcW w:type="dxa" w:w="1134"/>
            <w:vAlign w:val="center"/>
          </w:tcPr>
          <w:p>
            <w:r/>
            <w:r>
              <w:rPr>
                <w:rFonts w:ascii="Calibri" w:hAnsi="Calibri"/>
                <w:sz w:val="19"/>
              </w:rPr>
              <w:t>Medium</w:t>
            </w:r>
          </w:p>
        </w:tc>
        <w:tc>
          <w:tcPr>
            <w:tcW w:type="dxa" w:w="1134"/>
            <w:vAlign w:val="center"/>
          </w:tcPr>
          <w:p>
            <w:r/>
            <w:r>
              <w:rPr>
                <w:rFonts w:ascii="Calibri" w:hAnsi="Calibri"/>
                <w:sz w:val="19"/>
              </w:rPr>
              <w:t>Low</w:t>
            </w:r>
          </w:p>
        </w:tc>
        <w:tc>
          <w:tcPr>
            <w:tcW w:type="dxa" w:w="3969"/>
            <w:vAlign w:val="center"/>
          </w:tcPr>
          <w:p>
            <w:r/>
            <w:r>
              <w:rPr>
                <w:rFonts w:ascii="Calibri" w:hAnsi="Calibri"/>
                <w:sz w:val="19"/>
              </w:rPr>
              <w:t>Tight revenue-retention definition + escrow; insurance-backed reps; pre-agreed dispute mechanism</w:t>
            </w:r>
          </w:p>
        </w:tc>
      </w:tr>
      <w:tr>
        <w:tc>
          <w:tcPr>
            <w:tcW w:type="dxa" w:w="2268"/>
            <w:shd w:val="clear" w:color="auto" w:fill="F4F6F9"/>
            <w:vAlign w:val="center"/>
          </w:tcPr>
          <w:p>
            <w:r/>
            <w:r>
              <w:rPr>
                <w:rFonts w:ascii="Calibri" w:hAnsi="Calibri"/>
                <w:sz w:val="19"/>
              </w:rPr>
              <w:t>Currency (BYN/PLN/EUR/USD)</w:t>
            </w:r>
          </w:p>
        </w:tc>
        <w:tc>
          <w:tcPr>
            <w:tcW w:type="dxa" w:w="1134"/>
            <w:shd w:val="clear" w:color="auto" w:fill="F4F6F9"/>
            <w:vAlign w:val="center"/>
          </w:tcPr>
          <w:p>
            <w:r/>
            <w:r>
              <w:rPr>
                <w:rFonts w:ascii="Calibri" w:hAnsi="Calibri"/>
                <w:sz w:val="19"/>
              </w:rPr>
              <w:t>Medium</w:t>
            </w:r>
          </w:p>
        </w:tc>
        <w:tc>
          <w:tcPr>
            <w:tcW w:type="dxa" w:w="1134"/>
            <w:shd w:val="clear" w:color="auto" w:fill="F4F6F9"/>
            <w:vAlign w:val="center"/>
          </w:tcPr>
          <w:p>
            <w:r/>
            <w:r>
              <w:rPr>
                <w:rFonts w:ascii="Calibri" w:hAnsi="Calibri"/>
                <w:sz w:val="19"/>
              </w:rPr>
              <w:t>Low–Medium</w:t>
            </w:r>
          </w:p>
        </w:tc>
        <w:tc>
          <w:tcPr>
            <w:tcW w:type="dxa" w:w="3969"/>
            <w:shd w:val="clear" w:color="auto" w:fill="F4F6F9"/>
            <w:vAlign w:val="center"/>
          </w:tcPr>
          <w:p>
            <w:r/>
            <w:r>
              <w:rPr>
                <w:rFonts w:ascii="Calibri" w:hAnsi="Calibri"/>
                <w:sz w:val="19"/>
              </w:rPr>
              <w:t>EUR-denominated debt + EUR holdco; natural hedge from PL/IT cashflows; 25% PLN exposure hedged via forwards</w:t>
            </w:r>
          </w:p>
        </w:tc>
      </w:tr>
      <w:tr>
        <w:tc>
          <w:tcPr>
            <w:tcW w:type="dxa" w:w="2268"/>
            <w:vAlign w:val="center"/>
          </w:tcPr>
          <w:p>
            <w:r/>
            <w:r>
              <w:rPr>
                <w:rFonts w:ascii="Calibri" w:hAnsi="Calibri"/>
                <w:sz w:val="19"/>
              </w:rPr>
              <w:t>Cyprus reputational risk (post-CySec / golden passport)</w:t>
            </w:r>
          </w:p>
        </w:tc>
        <w:tc>
          <w:tcPr>
            <w:tcW w:type="dxa" w:w="1134"/>
            <w:vAlign w:val="center"/>
          </w:tcPr>
          <w:p>
            <w:r/>
            <w:r>
              <w:rPr>
                <w:rFonts w:ascii="Calibri" w:hAnsi="Calibri"/>
                <w:sz w:val="19"/>
              </w:rPr>
              <w:t>Low</w:t>
            </w:r>
          </w:p>
        </w:tc>
        <w:tc>
          <w:tcPr>
            <w:tcW w:type="dxa" w:w="1134"/>
            <w:vAlign w:val="center"/>
          </w:tcPr>
          <w:p>
            <w:r/>
            <w:r>
              <w:rPr>
                <w:rFonts w:ascii="Calibri" w:hAnsi="Calibri"/>
                <w:sz w:val="19"/>
              </w:rPr>
              <w:t>Medium</w:t>
            </w:r>
          </w:p>
        </w:tc>
        <w:tc>
          <w:tcPr>
            <w:tcW w:type="dxa" w:w="3969"/>
            <w:vAlign w:val="center"/>
          </w:tcPr>
          <w:p>
            <w:r/>
            <w:r>
              <w:rPr>
                <w:rFonts w:ascii="Calibri" w:hAnsi="Calibri"/>
                <w:sz w:val="19"/>
              </w:rPr>
              <w:t>Clean structure with EU-passported counsel; avoid Russia-linked LP capital; clear UBO disclosure</w:t>
            </w:r>
          </w:p>
        </w:tc>
      </w:tr>
      <w:tr>
        <w:tc>
          <w:tcPr>
            <w:tcW w:type="dxa" w:w="2268"/>
            <w:shd w:val="clear" w:color="auto" w:fill="F4F6F9"/>
            <w:vAlign w:val="center"/>
          </w:tcPr>
          <w:p>
            <w:r/>
            <w:r>
              <w:rPr>
                <w:rFonts w:ascii="Calibri" w:hAnsi="Calibri"/>
                <w:sz w:val="19"/>
              </w:rPr>
              <w:t>Founder concentration risk</w:t>
            </w:r>
          </w:p>
        </w:tc>
        <w:tc>
          <w:tcPr>
            <w:tcW w:type="dxa" w:w="1134"/>
            <w:shd w:val="clear" w:color="auto" w:fill="F4F6F9"/>
            <w:vAlign w:val="center"/>
          </w:tcPr>
          <w:p>
            <w:r/>
            <w:r>
              <w:rPr>
                <w:rFonts w:ascii="Calibri" w:hAnsi="Calibri"/>
                <w:sz w:val="19"/>
              </w:rPr>
              <w:t>High at Day 1</w:t>
            </w:r>
          </w:p>
        </w:tc>
        <w:tc>
          <w:tcPr>
            <w:tcW w:type="dxa" w:w="1134"/>
            <w:shd w:val="clear" w:color="auto" w:fill="F4F6F9"/>
            <w:vAlign w:val="center"/>
          </w:tcPr>
          <w:p>
            <w:r/>
            <w:r>
              <w:rPr>
                <w:rFonts w:ascii="Calibri" w:hAnsi="Calibri"/>
                <w:sz w:val="19"/>
              </w:rPr>
              <w:t>High</w:t>
            </w:r>
          </w:p>
        </w:tc>
        <w:tc>
          <w:tcPr>
            <w:tcW w:type="dxa" w:w="3969"/>
            <w:shd w:val="clear" w:color="auto" w:fill="F4F6F9"/>
            <w:vAlign w:val="center"/>
          </w:tcPr>
          <w:p>
            <w:r/>
            <w:r>
              <w:rPr>
                <w:rFonts w:ascii="Calibri" w:hAnsi="Calibri"/>
                <w:sz w:val="19"/>
              </w:rPr>
              <w:t>Co-founder + advisory board signed by month 3; deputy hires by month 6</w:t>
            </w:r>
          </w:p>
        </w:tc>
      </w:tr>
      <w:tr>
        <w:tc>
          <w:tcPr>
            <w:tcW w:type="dxa" w:w="2268"/>
            <w:vAlign w:val="center"/>
          </w:tcPr>
          <w:p>
            <w:r/>
            <w:r>
              <w:rPr>
                <w:rFonts w:ascii="Calibri" w:hAnsi="Calibri"/>
                <w:sz w:val="19"/>
              </w:rPr>
              <w:t>Regulatory — local accounting license requirements</w:t>
            </w:r>
          </w:p>
        </w:tc>
        <w:tc>
          <w:tcPr>
            <w:tcW w:type="dxa" w:w="1134"/>
            <w:vAlign w:val="center"/>
          </w:tcPr>
          <w:p>
            <w:r/>
            <w:r>
              <w:rPr>
                <w:rFonts w:ascii="Calibri" w:hAnsi="Calibri"/>
                <w:sz w:val="19"/>
              </w:rPr>
              <w:t>Medium</w:t>
            </w:r>
          </w:p>
        </w:tc>
        <w:tc>
          <w:tcPr>
            <w:tcW w:type="dxa" w:w="1134"/>
            <w:vAlign w:val="center"/>
          </w:tcPr>
          <w:p>
            <w:r/>
            <w:r>
              <w:rPr>
                <w:rFonts w:ascii="Calibri" w:hAnsi="Calibri"/>
                <w:sz w:val="19"/>
              </w:rPr>
              <w:t>Medium</w:t>
            </w:r>
          </w:p>
        </w:tc>
        <w:tc>
          <w:tcPr>
            <w:tcW w:type="dxa" w:w="3969"/>
            <w:vAlign w:val="center"/>
          </w:tcPr>
          <w:p>
            <w:r/>
            <w:r>
              <w:rPr>
                <w:rFonts w:ascii="Calibri" w:hAnsi="Calibri"/>
                <w:sz w:val="19"/>
              </w:rPr>
              <w:t>Always retain seller as licensed-accountant-of-record for 24 months; partner with local professional bodies (KIBR in PL, ODCEC in IT, ICPAC in CY)</w:t>
            </w:r>
          </w:p>
        </w:tc>
      </w:tr>
      <w:tr>
        <w:tc>
          <w:tcPr>
            <w:tcW w:type="dxa" w:w="2268"/>
            <w:shd w:val="clear" w:color="auto" w:fill="F4F6F9"/>
            <w:vAlign w:val="center"/>
          </w:tcPr>
          <w:p>
            <w:r/>
            <w:r>
              <w:rPr>
                <w:rFonts w:ascii="Calibri" w:hAnsi="Calibri"/>
                <w:sz w:val="19"/>
              </w:rPr>
              <w:t>Macro — EU recession compresses SMB book</w:t>
            </w:r>
          </w:p>
        </w:tc>
        <w:tc>
          <w:tcPr>
            <w:tcW w:type="dxa" w:w="1134"/>
            <w:shd w:val="clear" w:color="auto" w:fill="F4F6F9"/>
            <w:vAlign w:val="center"/>
          </w:tcPr>
          <w:p>
            <w:r/>
            <w:r>
              <w:rPr>
                <w:rFonts w:ascii="Calibri" w:hAnsi="Calibri"/>
                <w:sz w:val="19"/>
              </w:rPr>
              <w:t>Medium</w:t>
            </w:r>
          </w:p>
        </w:tc>
        <w:tc>
          <w:tcPr>
            <w:tcW w:type="dxa" w:w="1134"/>
            <w:shd w:val="clear" w:color="auto" w:fill="F4F6F9"/>
            <w:vAlign w:val="center"/>
          </w:tcPr>
          <w:p>
            <w:r/>
            <w:r>
              <w:rPr>
                <w:rFonts w:ascii="Calibri" w:hAnsi="Calibri"/>
                <w:sz w:val="19"/>
              </w:rPr>
              <w:t>Medium</w:t>
            </w:r>
          </w:p>
        </w:tc>
        <w:tc>
          <w:tcPr>
            <w:tcW w:type="dxa" w:w="3969"/>
            <w:shd w:val="clear" w:color="auto" w:fill="F4F6F9"/>
            <w:vAlign w:val="center"/>
          </w:tcPr>
          <w:p>
            <w:r/>
            <w:r>
              <w:rPr>
                <w:rFonts w:ascii="Calibri" w:hAnsi="Calibri"/>
                <w:sz w:val="19"/>
              </w:rPr>
              <w:t>SMB accounting is countercyclical (compliance is non-discretionary); 3–5% revenue impact even in deep recession</w:t>
            </w:r>
          </w:p>
        </w:tc>
      </w:tr>
      <w:tr>
        <w:tc>
          <w:tcPr>
            <w:tcW w:type="dxa" w:w="2268"/>
            <w:vAlign w:val="center"/>
          </w:tcPr>
          <w:p>
            <w:r/>
            <w:r>
              <w:rPr>
                <w:rFonts w:ascii="Calibri" w:hAnsi="Calibri"/>
                <w:sz w:val="19"/>
              </w:rPr>
              <w:t>Integration overruns</w:t>
            </w:r>
          </w:p>
        </w:tc>
        <w:tc>
          <w:tcPr>
            <w:tcW w:type="dxa" w:w="1134"/>
            <w:vAlign w:val="center"/>
          </w:tcPr>
          <w:p>
            <w:r/>
            <w:r>
              <w:rPr>
                <w:rFonts w:ascii="Calibri" w:hAnsi="Calibri"/>
                <w:sz w:val="19"/>
              </w:rPr>
              <w:t>Medium–High</w:t>
            </w:r>
          </w:p>
        </w:tc>
        <w:tc>
          <w:tcPr>
            <w:tcW w:type="dxa" w:w="1134"/>
            <w:vAlign w:val="center"/>
          </w:tcPr>
          <w:p>
            <w:r/>
            <w:r>
              <w:rPr>
                <w:rFonts w:ascii="Calibri" w:hAnsi="Calibri"/>
                <w:sz w:val="19"/>
              </w:rPr>
              <w:t>Medium</w:t>
            </w:r>
          </w:p>
        </w:tc>
        <w:tc>
          <w:tcPr>
            <w:tcW w:type="dxa" w:w="3969"/>
            <w:vAlign w:val="center"/>
          </w:tcPr>
          <w:p>
            <w:r/>
            <w:r>
              <w:rPr>
                <w:rFonts w:ascii="Calibri" w:hAnsi="Calibri"/>
                <w:sz w:val="19"/>
              </w:rPr>
              <w:t>Strict Day-30/90/180 playbook; do not exceed 2 concurrent integrations per Country MD</w:t>
            </w:r>
          </w:p>
        </w:tc>
      </w:tr>
      <w:tr>
        <w:tc>
          <w:tcPr>
            <w:tcW w:type="dxa" w:w="2268"/>
            <w:shd w:val="clear" w:color="auto" w:fill="F4F6F9"/>
            <w:vAlign w:val="center"/>
          </w:tcPr>
          <w:p>
            <w:r/>
            <w:r>
              <w:rPr>
                <w:rFonts w:ascii="Calibri" w:hAnsi="Calibri"/>
                <w:sz w:val="19"/>
              </w:rPr>
              <w:t>Data breach / GDPR fine</w:t>
            </w:r>
          </w:p>
        </w:tc>
        <w:tc>
          <w:tcPr>
            <w:tcW w:type="dxa" w:w="1134"/>
            <w:shd w:val="clear" w:color="auto" w:fill="F4F6F9"/>
            <w:vAlign w:val="center"/>
          </w:tcPr>
          <w:p>
            <w:r/>
            <w:r>
              <w:rPr>
                <w:rFonts w:ascii="Calibri" w:hAnsi="Calibri"/>
                <w:sz w:val="19"/>
              </w:rPr>
              <w:t>Low–Medium</w:t>
            </w:r>
          </w:p>
        </w:tc>
        <w:tc>
          <w:tcPr>
            <w:tcW w:type="dxa" w:w="1134"/>
            <w:shd w:val="clear" w:color="auto" w:fill="F4F6F9"/>
            <w:vAlign w:val="center"/>
          </w:tcPr>
          <w:p>
            <w:r/>
            <w:r>
              <w:rPr>
                <w:rFonts w:ascii="Calibri" w:hAnsi="Calibri"/>
                <w:sz w:val="19"/>
              </w:rPr>
              <w:t>High</w:t>
            </w:r>
          </w:p>
        </w:tc>
        <w:tc>
          <w:tcPr>
            <w:tcW w:type="dxa" w:w="3969"/>
            <w:shd w:val="clear" w:color="auto" w:fill="F4F6F9"/>
            <w:vAlign w:val="center"/>
          </w:tcPr>
          <w:p>
            <w:r/>
            <w:r>
              <w:rPr>
                <w:rFonts w:ascii="Calibri" w:hAnsi="Calibri"/>
                <w:sz w:val="19"/>
              </w:rPr>
              <w:t>Day-1 GDPR audit on every acquired practice; cyber insurance; ISO 27001 by Y2</w:t>
            </w:r>
          </w:p>
        </w:tc>
      </w:tr>
    </w:tbl>
    <w:p>
      <w:r>
        <w:br w:type="page"/>
      </w:r>
    </w:p>
    <w:p>
      <w:pPr>
        <w:spacing w:before="360" w:after="120"/>
      </w:pPr>
      <w:r>
        <w:rPr>
          <w:rFonts w:ascii="Calibri" w:hAnsi="Calibri"/>
          <w:b/>
          <w:color w:val="1F3A5F"/>
          <w:sz w:val="40"/>
        </w:rPr>
        <w:t>11. Sources, Methodology, Open Questions</w:t>
      </w:r>
    </w:p>
    <w:p>
      <w:pPr>
        <w:spacing w:before="280" w:after="80"/>
      </w:pPr>
      <w:r>
        <w:rPr>
          <w:rFonts w:ascii="Calibri" w:hAnsi="Calibri"/>
          <w:b/>
          <w:color w:val="1F3A5F"/>
          <w:sz w:val="28"/>
        </w:rPr>
        <w:t>11.1  Methodology notes</w:t>
      </w:r>
    </w:p>
    <w:p>
      <w:pPr>
        <w:pStyle w:val="ListBullet"/>
        <w:spacing w:after="40" w:line="288" w:lineRule="auto"/>
      </w:pPr>
      <w:r>
        <w:rPr>
          <w:rFonts w:ascii="Calibri" w:hAnsi="Calibri"/>
          <w:sz w:val="21"/>
        </w:rPr>
        <w:t>Sumer.io treated as category reference (Spanish AI-accounting wedge); not all data points individually fact-checked against Sumer specifically — Holded (Visma-owned since 2021) used as proxy where needed.</w:t>
      </w:r>
    </w:p>
    <w:p>
      <w:pPr>
        <w:pStyle w:val="ListBullet"/>
        <w:spacing w:after="40" w:line="288" w:lineRule="auto"/>
      </w:pPr>
      <w:r>
        <w:rPr>
          <w:rFonts w:ascii="Calibri" w:hAnsi="Calibri"/>
          <w:sz w:val="21"/>
        </w:rPr>
        <w:t>Visma data points sourced from public Hg dossier, Visma annual reports 2020–2024, and press releases on Holded and Fiscozen acquisitions.</w:t>
      </w:r>
    </w:p>
    <w:p>
      <w:pPr>
        <w:pStyle w:val="ListBullet"/>
        <w:spacing w:after="40" w:line="288" w:lineRule="auto"/>
      </w:pPr>
      <w:r>
        <w:rPr>
          <w:rFonts w:ascii="Calibri" w:hAnsi="Calibri"/>
          <w:sz w:val="21"/>
        </w:rPr>
        <w:t>Polish market sizing from CEIDG / KRS counts of sub-€2M revenue practices (sector codes 69.20.Z + 69.10.Z); Italian from ISTAT and ODCEC member counts; Cypriot from ICPAC public roster.</w:t>
      </w:r>
    </w:p>
    <w:p>
      <w:pPr>
        <w:pStyle w:val="ListBullet"/>
        <w:spacing w:after="40" w:line="288" w:lineRule="auto"/>
      </w:pPr>
      <w:r>
        <w:rPr>
          <w:rFonts w:ascii="Calibri" w:hAnsi="Calibri"/>
          <w:sz w:val="21"/>
        </w:rPr>
        <w:t>Multiple ranges (3.5–4.5× for sub-€5M practices, 5–6× for Italy, 8–12× for Visma scale) sourced from public deal databases (Mergermarket, Pitchbook) plus founder's own M&amp;A advisory network.</w:t>
      </w:r>
    </w:p>
    <w:p>
      <w:pPr>
        <w:pStyle w:val="ListBullet"/>
        <w:spacing w:after="40" w:line="288" w:lineRule="auto"/>
      </w:pPr>
      <w:r>
        <w:rPr>
          <w:rFonts w:ascii="Calibri" w:hAnsi="Calibri"/>
          <w:sz w:val="21"/>
        </w:rPr>
        <w:t>EBITDA-margin uplifts (19% → 27–30%) based on three reference cases: Holded post-Visma, BTerrein (NL bookkeeping aggregator) 2023, Fiscozen pre-acquisition.</w:t>
      </w:r>
    </w:p>
    <w:p>
      <w:pPr>
        <w:spacing w:before="280" w:after="80"/>
      </w:pPr>
      <w:r>
        <w:rPr>
          <w:rFonts w:ascii="Calibri" w:hAnsi="Calibri"/>
          <w:b/>
          <w:color w:val="1F3A5F"/>
          <w:sz w:val="28"/>
        </w:rPr>
        <w:t>11.2  Sources cited</w:t>
      </w:r>
    </w:p>
    <w:p>
      <w:pPr>
        <w:spacing w:after="80" w:line="300" w:lineRule="auto"/>
      </w:pPr>
      <w:r>
        <w:rPr>
          <w:rFonts w:ascii="Calibri" w:hAnsi="Calibri"/>
          <w:b w:val="0"/>
          <w:i w:val="0"/>
          <w:color w:val="101010"/>
          <w:sz w:val="21"/>
        </w:rPr>
        <w:t>Primary public sources:</w:t>
      </w:r>
    </w:p>
    <w:p>
      <w:pPr>
        <w:pStyle w:val="ListBullet"/>
        <w:spacing w:after="40" w:line="288" w:lineRule="auto"/>
      </w:pPr>
      <w:r>
        <w:rPr>
          <w:rFonts w:ascii="Calibri" w:hAnsi="Calibri"/>
          <w:sz w:val="21"/>
        </w:rPr>
        <w:t>Visma AS Annual Reports 2020–2024 (visma.com/about-us/investor-relations)</w:t>
      </w:r>
    </w:p>
    <w:p>
      <w:pPr>
        <w:pStyle w:val="ListBullet"/>
        <w:spacing w:after="40" w:line="288" w:lineRule="auto"/>
      </w:pPr>
      <w:r>
        <w:rPr>
          <w:rFonts w:ascii="Calibri" w:hAnsi="Calibri"/>
          <w:sz w:val="21"/>
        </w:rPr>
        <w:t>Hg Capital — "Visma case study" (hgcapital.com/portfolio)</w:t>
      </w:r>
    </w:p>
    <w:p>
      <w:pPr>
        <w:pStyle w:val="ListBullet"/>
        <w:spacing w:after="40" w:line="288" w:lineRule="auto"/>
      </w:pPr>
      <w:r>
        <w:rPr>
          <w:rFonts w:ascii="Calibri" w:hAnsi="Calibri"/>
          <w:sz w:val="21"/>
        </w:rPr>
        <w:t>Polish Ministry of Finance — KSeF implementation timeline</w:t>
      </w:r>
    </w:p>
    <w:p>
      <w:pPr>
        <w:pStyle w:val="ListBullet"/>
        <w:spacing w:after="40" w:line="288" w:lineRule="auto"/>
      </w:pPr>
      <w:r>
        <w:rPr>
          <w:rFonts w:ascii="Calibri" w:hAnsi="Calibri"/>
          <w:sz w:val="21"/>
        </w:rPr>
        <w:t>Agenzia delle Entrate — Sistema di Interscambio (SdI) documentation</w:t>
      </w:r>
    </w:p>
    <w:p>
      <w:pPr>
        <w:pStyle w:val="ListBullet"/>
        <w:spacing w:after="40" w:line="288" w:lineRule="auto"/>
      </w:pPr>
      <w:r>
        <w:rPr>
          <w:rFonts w:ascii="Calibri" w:hAnsi="Calibri"/>
          <w:sz w:val="21"/>
        </w:rPr>
        <w:t>ICPAC (Cyprus) — Member roster and licensing rules</w:t>
      </w:r>
    </w:p>
    <w:p>
      <w:pPr>
        <w:pStyle w:val="ListBullet"/>
        <w:spacing w:after="40" w:line="288" w:lineRule="auto"/>
      </w:pPr>
      <w:r>
        <w:rPr>
          <w:rFonts w:ascii="Calibri" w:hAnsi="Calibri"/>
          <w:sz w:val="21"/>
        </w:rPr>
        <w:t>European Commission — ViDA (VAT in the Digital Age) proposal</w:t>
      </w:r>
    </w:p>
    <w:p>
      <w:pPr>
        <w:spacing w:after="80" w:line="300" w:lineRule="auto"/>
      </w:pPr>
      <w:r>
        <w:rPr>
          <w:rFonts w:ascii="Calibri" w:hAnsi="Calibri"/>
          <w:b w:val="0"/>
          <w:i w:val="0"/>
          <w:color w:val="101010"/>
          <w:sz w:val="21"/>
        </w:rPr>
        <w:t>Industry / market:</w:t>
      </w:r>
    </w:p>
    <w:p>
      <w:pPr>
        <w:pStyle w:val="ListBullet"/>
        <w:spacing w:after="40" w:line="288" w:lineRule="auto"/>
      </w:pPr>
      <w:r>
        <w:rPr>
          <w:rFonts w:ascii="Calibri" w:hAnsi="Calibri"/>
          <w:sz w:val="21"/>
        </w:rPr>
        <w:t>Mergermarket — SMB software roll-up deal multiples 2019–2025</w:t>
      </w:r>
    </w:p>
    <w:p>
      <w:pPr>
        <w:pStyle w:val="ListBullet"/>
        <w:spacing w:after="40" w:line="288" w:lineRule="auto"/>
      </w:pPr>
      <w:r>
        <w:rPr>
          <w:rFonts w:ascii="Calibri" w:hAnsi="Calibri"/>
          <w:sz w:val="21"/>
        </w:rPr>
        <w:t>Pitchbook — accounting-tech category exits</w:t>
      </w:r>
    </w:p>
    <w:p>
      <w:pPr>
        <w:pStyle w:val="ListBullet"/>
        <w:spacing w:after="40" w:line="288" w:lineRule="auto"/>
      </w:pPr>
      <w:r>
        <w:rPr>
          <w:rFonts w:ascii="Calibri" w:hAnsi="Calibri"/>
          <w:sz w:val="21"/>
        </w:rPr>
        <w:t>Brookings / OECD — SMB digital adoption surveys EU 2023–2024</w:t>
      </w:r>
    </w:p>
    <w:p>
      <w:pPr>
        <w:spacing w:before="280" w:after="80"/>
      </w:pPr>
      <w:r>
        <w:rPr>
          <w:rFonts w:ascii="Calibri" w:hAnsi="Calibri"/>
          <w:b/>
          <w:color w:val="1F3A5F"/>
          <w:sz w:val="28"/>
        </w:rPr>
        <w:t>11.3  Open questions for founder review</w:t>
      </w:r>
    </w:p>
    <w:p>
      <w:pPr>
        <w:pStyle w:val="ListBullet"/>
        <w:spacing w:after="40" w:line="288" w:lineRule="auto"/>
      </w:pPr>
      <w:r>
        <w:rPr>
          <w:rFonts w:ascii="Calibri" w:hAnsi="Calibri"/>
          <w:sz w:val="21"/>
        </w:rPr>
        <w:t>Cyprus vs. Netherlands holdco — final choice depends on personal tax position and exit jurisdiction expectation. NL has better CIT-treaty network; CY has IP-box and lower effective rate. Decision needed by D15.</w:t>
      </w:r>
    </w:p>
    <w:p>
      <w:pPr>
        <w:pStyle w:val="ListBullet"/>
        <w:spacing w:after="40" w:line="288" w:lineRule="auto"/>
      </w:pPr>
      <w:r>
        <w:rPr>
          <w:rFonts w:ascii="Calibri" w:hAnsi="Calibri"/>
          <w:sz w:val="21"/>
        </w:rPr>
        <w:t>AI build-or-buy on the classification model — POC results in D45 will drive this. If we build, headcount +1 in Year 2.</w:t>
      </w:r>
    </w:p>
    <w:p>
      <w:pPr>
        <w:pStyle w:val="ListBullet"/>
        <w:spacing w:after="40" w:line="288" w:lineRule="auto"/>
      </w:pPr>
      <w:r>
        <w:rPr>
          <w:rFonts w:ascii="Calibri" w:hAnsi="Calibri"/>
          <w:sz w:val="21"/>
        </w:rPr>
        <w:t>Italy timing — accelerate to month 9 if Visma's Fiscozen integration goes badly and Italian sellers become receptive, or hold to month 16 default.</w:t>
      </w:r>
    </w:p>
    <w:p>
      <w:pPr>
        <w:pStyle w:val="ListBullet"/>
        <w:spacing w:after="40" w:line="288" w:lineRule="auto"/>
      </w:pPr>
      <w:r>
        <w:rPr>
          <w:rFonts w:ascii="Calibri" w:hAnsi="Calibri"/>
          <w:sz w:val="21"/>
        </w:rPr>
        <w:t>Series A lead — Hg (Visma's own backer, conflicts) vs. mid-market PE like Mercia / Tilia vs. strategics like Wolters Kluwer Ventures. Three-way trade-off between capital, validation and optionality.</w:t>
      </w:r>
    </w:p>
    <w:p>
      <w:pPr>
        <w:pStyle w:val="ListBullet"/>
        <w:spacing w:after="40" w:line="288" w:lineRule="auto"/>
      </w:pPr>
      <w:r>
        <w:rPr>
          <w:rFonts w:ascii="Calibri" w:hAnsi="Calibri"/>
          <w:sz w:val="21"/>
        </w:rPr>
        <w:t>Series A vs. continued debt financing — at €7M raised, are we under-capitalized for 14 deals? Model assumes €8M senior debt at month 12; sensitivity to debt-availability needed.</w:t>
      </w:r>
    </w:p>
    <w:p>
      <w:pPr>
        <w:pStyle w:val="ListBullet"/>
        <w:spacing w:after="40" w:line="288" w:lineRule="auto"/>
      </w:pPr>
      <w:r>
        <w:rPr>
          <w:rFonts w:ascii="Calibri" w:hAnsi="Calibri"/>
          <w:sz w:val="21"/>
        </w:rPr>
        <w:t>Exit structure — full sale to Visma vs. partial recap with Hg / EQT vs. independent run to Series B/C. Decision frame in FY28.</w:t>
      </w:r>
    </w:p>
    <w:p>
      <w:r>
        <w:br/>
      </w:r>
    </w:p>
    <w:p>
      <w:pPr>
        <w:spacing w:after="80" w:line="300" w:lineRule="auto"/>
        <w:jc w:val="center"/>
      </w:pPr>
      <w:r>
        <w:rPr>
          <w:rFonts w:ascii="Calibri" w:hAnsi="Calibri"/>
          <w:b w:val="0"/>
          <w:i/>
          <w:color w:val="AAAAAA"/>
          <w:sz w:val="20"/>
        </w:rPr>
        <w:t>— End of Memo —</w:t>
      </w:r>
    </w:p>
    <w:p>
      <w:pPr>
        <w:spacing w:after="80" w:line="300" w:lineRule="auto"/>
        <w:jc w:val="center"/>
      </w:pPr>
      <w:r>
        <w:rPr>
          <w:rFonts w:ascii="Calibri" w:hAnsi="Calibri"/>
          <w:b w:val="0"/>
          <w:i/>
          <w:color w:val="AAAAAA"/>
          <w:sz w:val="18"/>
        </w:rPr>
        <w:t>Paired documents: Ledger_Rollup_Model.xlsx (financial model, 15 tabs) and Ledger_Rollup_Pitch.pptx (10-slide investor deck).</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