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i w:val="false"/>
          <w:iCs w:val="false"/>
          <w:color w:val="2E5395"/>
          <w:sz w:val="22"/>
          <w:szCs w:val="22"/>
        </w:rPr>
        <w:t xml:space="preserve">RESEARCH MEMO — ADDENDUM</w:t>
      </w:r>
    </w:p>
    <w:p>
      <w:pPr>
        <w:spacing w:after="120"/>
        <w:jc w:val="center"/>
      </w:pPr>
      <w:r>
        <w:rPr>
          <w:rFonts w:ascii="Calibri" w:cs="Calibri" w:eastAsia="Calibri" w:hAnsi="Calibri"/>
          <w:b/>
          <w:bCs/>
          <w:i w:val="false"/>
          <w:iCs w:val="false"/>
          <w:color w:val="1F3864"/>
          <w:sz w:val="36"/>
          <w:szCs w:val="36"/>
        </w:rPr>
        <w:t xml:space="preserve">AI Roll-Up: Accounting &amp; Bookkeeping Services</w:t>
      </w:r>
    </w:p>
    <w:p>
      <w:pPr>
        <w:spacing w:after="600"/>
        <w:jc w:val="center"/>
      </w:pPr>
      <w:r>
        <w:rPr>
          <w:rFonts w:ascii="Calibri" w:cs="Calibri" w:eastAsia="Calibri" w:hAnsi="Calibri"/>
          <w:b w:val="false"/>
          <w:bCs w:val="false"/>
          <w:i/>
          <w:iCs/>
          <w:color w:val="2E5395"/>
          <w:sz w:val="26"/>
          <w:szCs w:val="26"/>
        </w:rPr>
        <w:t xml:space="preserve">Eastern + Southern Europe Deep Dive · Consolidation Strategy · Target Profile</w:t>
      </w:r>
    </w:p>
    <w:p>
      <w:pPr>
        <w:spacing w:after="80"/>
        <w:jc w:val="center"/>
      </w:pPr>
      <w:r>
        <w:rPr>
          <w:rFonts w:ascii="Calibri" w:cs="Calibri" w:eastAsia="Calibri" w:hAnsi="Calibri"/>
          <w:b w:val="false"/>
          <w:bCs w:val="false"/>
          <w:i w:val="false"/>
          <w:iCs w:val="false"/>
          <w:sz w:val="22"/>
          <w:szCs w:val="22"/>
        </w:rPr>
        <w:t xml:space="preserve">Prepared for: Viktar Dzenisevich (Operator track)</w:t>
      </w:r>
    </w:p>
    <w:p>
      <w:pPr>
        <w:spacing w:after="80"/>
        <w:jc w:val="center"/>
      </w:pPr>
      <w:r>
        <w:rPr>
          <w:rFonts w:ascii="Calibri" w:cs="Calibri" w:eastAsia="Calibri" w:hAnsi="Calibri"/>
          <w:b w:val="false"/>
          <w:bCs w:val="false"/>
          <w:i w:val="false"/>
          <w:iCs w:val="false"/>
          <w:sz w:val="22"/>
          <w:szCs w:val="22"/>
        </w:rPr>
        <w:t xml:space="preserve">Date: 21 May 2026</w:t>
      </w:r>
    </w:p>
    <w:p>
      <w:pPr>
        <w:spacing w:after="80"/>
        <w:jc w:val="center"/>
      </w:pPr>
      <w:r>
        <w:rPr>
          <w:rFonts w:ascii="Calibri" w:cs="Calibri" w:eastAsia="Calibri" w:hAnsi="Calibri"/>
          <w:b w:val="false"/>
          <w:bCs w:val="false"/>
          <w:i/>
          <w:iCs/>
          <w:color w:val="595959"/>
          <w:sz w:val="22"/>
          <w:szCs w:val="22"/>
        </w:rPr>
        <w:t xml:space="preserve">Confidential — Internal Strategy Document</w:t>
      </w:r>
    </w:p>
    <w:p>
      <w:pPr>
        <w:spacing w:after="80"/>
        <w:jc w:val="center"/>
      </w:pPr>
      <w:r>
        <w:rPr>
          <w:rFonts w:ascii="Calibri" w:cs="Calibri" w:eastAsia="Calibri" w:hAnsi="Calibri"/>
          <w:b w:val="false"/>
          <w:bCs w:val="false"/>
          <w:i/>
          <w:iCs/>
          <w:color w:val="595959"/>
          <w:sz w:val="20"/>
          <w:szCs w:val="20"/>
        </w:rPr>
        <w:t xml:space="preserve">Companion to main memo: AI_Rollup_Accounting_Deep_Research.docx</w:t>
      </w:r>
    </w:p>
    <w:p>
      <w:pPr>
        <w:pageBreakBefore/>
      </w:pPr>
      <w:r>
        <w:rPr>
          <w:rFonts w:ascii="Calibri" w:cs="Calibri" w:eastAsia="Calibri" w:hAnsi="Calibri"/>
        </w:rPr>
        <w:t xml:space="preserve"/>
      </w:r>
    </w:p>
    <w:p>
      <w:pPr>
        <w:pStyle w:val="Heading1"/>
        <w:spacing w:after="200" w:before="360"/>
      </w:pPr>
      <w:r>
        <w:rPr>
          <w:rFonts w:ascii="Calibri" w:cs="Calibri" w:eastAsia="Calibri" w:hAnsi="Calibri"/>
          <w:b/>
          <w:bCs/>
          <w:color w:val="1F3864"/>
          <w:sz w:val="32"/>
          <w:szCs w:val="32"/>
        </w:rPr>
        <w:t xml:space="preserve">TL;DR</w:t>
      </w:r>
    </w:p>
    <w:p>
      <w:pPr>
        <w:spacing w:after="120" w:line="300"/>
        <w:jc w:val="both"/>
      </w:pPr>
      <w:r>
        <w:rPr>
          <w:rFonts w:ascii="Calibri" w:cs="Calibri" w:eastAsia="Calibri" w:hAnsi="Calibri"/>
          <w:b w:val="false"/>
          <w:bCs w:val="false"/>
          <w:i w:val="false"/>
          <w:iCs w:val="false"/>
          <w:sz w:val="22"/>
          <w:szCs w:val="22"/>
        </w:rPr>
        <w:t xml:space="preserve">Eastern Europe (CEE) and Southern Europe (SEE) are the two structurally underpriced regions for an AI-enabled accounting roll-up. They diverge sharply in archetype: CEE is a labor-arbitrage / shared-services play where the moat is process automation against a low cost base and where SAF-T / KSeF / e-invoice mandates force migration in 2026–2027 — Poland and Romania are the standouts. SEE is a fragmentation play where the moat is consolidating thousands of sub-scale practices that have never seen institutional capital — Italy is the deepest pool, with Spain and Portugal as bolt-on geographies.</w:t>
      </w:r>
    </w:p>
    <w:p>
      <w:pPr>
        <w:spacing w:after="120" w:line="300"/>
        <w:jc w:val="both"/>
      </w:pPr>
      <w:r>
        <w:rPr>
          <w:rFonts w:ascii="Calibri" w:cs="Calibri" w:eastAsia="Calibri" w:hAnsi="Calibri"/>
          <w:b w:val="false"/>
          <w:bCs w:val="false"/>
          <w:i w:val="false"/>
          <w:iCs w:val="false"/>
          <w:sz w:val="22"/>
          <w:szCs w:val="22"/>
        </w:rPr>
        <w:t xml:space="preserve">Recommended target archetype for the operator: 8–25 FTE firms, €1–5M revenue, 70%+ recurring book, owner aged 50–62 with no internal succession, willing to roll 25–40% equity and stay 24 months. Multiples 4–6x EBITDA for sub-€500K EBITDA firms; 6–8x for €0.5–2M EBITDA platforms. Strict niche-stacking: by industry (e.g., e-commerce, gastronomy, real-estate SMB) or service line (payroll-heavy, VAT/e-invoice compliance, IFRS reporting for subsidiaries of foreign parents).</w:t>
      </w:r>
    </w:p>
    <w:p>
      <w:pPr>
        <w:spacing w:after="120" w:line="300"/>
        <w:jc w:val="both"/>
      </w:pPr>
      <w:r>
        <w:rPr>
          <w:rFonts w:ascii="Calibri" w:cs="Calibri" w:eastAsia="Calibri" w:hAnsi="Calibri"/>
          <w:b w:val="false"/>
          <w:bCs w:val="false"/>
          <w:i w:val="false"/>
          <w:iCs w:val="false"/>
          <w:sz w:val="22"/>
          <w:szCs w:val="22"/>
        </w:rPr>
        <w:t xml:space="preserve">Top contradictions: (1) Whether CEE labor arbitrage still works given 12–18% YoY wage inflation in Poland/Romania — sources disagree on the half-life; (2) Whether Italy's STP regulatory regime is permissive enough for PE-style roll-up structures or whether ODCEC-orbit firms still require workarounds — partial ambiguity. Top gaps: actual deal-by-deal multiples for sub-€2M EBITDA accounting transactions in Italy, Spain, and Poland are not publicly reported.</w:t>
      </w:r>
    </w:p>
    <w:p>
      <w:pPr>
        <w:pStyle w:val="Heading1"/>
        <w:spacing w:after="200" w:before="360"/>
      </w:pPr>
      <w:r>
        <w:rPr>
          <w:rFonts w:ascii="Calibri" w:cs="Calibri" w:eastAsia="Calibri" w:hAnsi="Calibri"/>
          <w:b/>
          <w:bCs/>
          <w:color w:val="1F3864"/>
          <w:sz w:val="32"/>
          <w:szCs w:val="32"/>
        </w:rPr>
        <w:t xml:space="preserve">Decision-relevant findings</w:t>
      </w:r>
    </w:p>
    <w:p>
      <w:pPr>
        <w:pStyle w:val="ListParagraph"/>
        <w:numPr>
          <w:ilvl w:val="0"/>
          <w:numId w:val="1"/>
        </w:numPr>
        <w:spacing w:after="80" w:line="280"/>
      </w:pPr>
      <w:r>
        <w:rPr>
          <w:rFonts w:ascii="Calibri" w:cs="Calibri" w:eastAsia="Calibri" w:hAnsi="Calibri"/>
          <w:b/>
          <w:bCs/>
          <w:color w:val="1F3864"/>
          <w:sz w:val="22"/>
          <w:szCs w:val="22"/>
        </w:rPr>
        <w:t xml:space="preserve">Italy is the densest fragmentation pool in Europe.</w:t>
      </w:r>
      <w:r>
        <w:rPr>
          <w:rFonts w:ascii="Calibri" w:cs="Calibri" w:eastAsia="Calibri" w:hAnsi="Calibri"/>
          <w:sz w:val="22"/>
          <w:szCs w:val="22"/>
        </w:rPr>
        <w:t xml:space="preserve"> 120,000+ commercialisti registered with ODCEC; STP corporate vehicles passed ~2,054 across professions by 2021 baseline and have been growing fast — institutional capital has barely begun. Lombardy, Lazio, Veneto concentrate the bulk.</w:t>
      </w:r>
    </w:p>
    <w:p>
      <w:pPr>
        <w:pStyle w:val="ListParagraph"/>
        <w:numPr>
          <w:ilvl w:val="0"/>
          <w:numId w:val="1"/>
        </w:numPr>
        <w:spacing w:after="80" w:line="280"/>
      </w:pPr>
      <w:r>
        <w:rPr>
          <w:rFonts w:ascii="Calibri" w:cs="Calibri" w:eastAsia="Calibri" w:hAnsi="Calibri"/>
          <w:b/>
          <w:bCs/>
          <w:color w:val="1F3864"/>
          <w:sz w:val="22"/>
          <w:szCs w:val="22"/>
        </w:rPr>
        <w:t xml:space="preserve">Poland is a regulatory window of 18 months.</w:t>
      </w:r>
      <w:r>
        <w:rPr>
          <w:rFonts w:ascii="Calibri" w:cs="Calibri" w:eastAsia="Calibri" w:hAnsi="Calibri"/>
          <w:sz w:val="22"/>
          <w:szCs w:val="22"/>
        </w:rPr>
        <w:t xml:space="preserve"> KSeF mandatory B2B e-invoicing kicks in Feb 2026 (large taxpayers) and April 2026 (rest); SMBs and micros get until Jan 2027. Every bookkeeping firm will need to re-tool — those that can't will sell. This is the cleanest 'forced-migration' tailwind in Europe right now.</w:t>
      </w:r>
    </w:p>
    <w:p>
      <w:pPr>
        <w:pStyle w:val="ListParagraph"/>
        <w:numPr>
          <w:ilvl w:val="0"/>
          <w:numId w:val="1"/>
        </w:numPr>
        <w:spacing w:after="80" w:line="280"/>
      </w:pPr>
      <w:r>
        <w:rPr>
          <w:rFonts w:ascii="Calibri" w:cs="Calibri" w:eastAsia="Calibri" w:hAnsi="Calibri"/>
          <w:b/>
          <w:bCs/>
          <w:color w:val="1F3864"/>
          <w:sz w:val="22"/>
          <w:szCs w:val="22"/>
        </w:rPr>
        <w:t xml:space="preserve">CEE trades at a structural ~30% multiple discount to Western Europe.</w:t>
      </w:r>
      <w:r>
        <w:rPr>
          <w:rFonts w:ascii="Calibri" w:cs="Calibri" w:eastAsia="Calibri" w:hAnsi="Calibri"/>
          <w:sz w:val="22"/>
          <w:szCs w:val="22"/>
        </w:rPr>
        <w:t xml:space="preserve"> Median EV/EBITDA across CEE deals ~6.7x vs ~9.4x for rest of Europe (Aventis Advisors, 2023/24). For sub-€500K EBITDA firms, multiples in the 3.5–5x range are achievable.</w:t>
      </w:r>
    </w:p>
    <w:p>
      <w:pPr>
        <w:pStyle w:val="ListParagraph"/>
        <w:numPr>
          <w:ilvl w:val="0"/>
          <w:numId w:val="1"/>
        </w:numPr>
        <w:spacing w:after="80" w:line="280"/>
      </w:pPr>
      <w:r>
        <w:rPr>
          <w:rFonts w:ascii="Calibri" w:cs="Calibri" w:eastAsia="Calibri" w:hAnsi="Calibri"/>
          <w:b/>
          <w:bCs/>
          <w:color w:val="1F3864"/>
          <w:sz w:val="22"/>
          <w:szCs w:val="22"/>
        </w:rPr>
        <w:t xml:space="preserve">Southern Europe is where AI margin expansion shows up cleanest.</w:t>
      </w:r>
      <w:r>
        <w:rPr>
          <w:rFonts w:ascii="Calibri" w:cs="Calibri" w:eastAsia="Calibri" w:hAnsi="Calibri"/>
          <w:sz w:val="22"/>
          <w:szCs w:val="22"/>
        </w:rPr>
        <w:t xml:space="preserve"> Italy/Spain/Portugal have low automation baselines (heavy manual data entry, paper documents still common), so document-IDP and bookkeeping copilots deliver 25–40% labor productivity gains in 12–18 months — more than the 15–25% you see in already-digitized UK/NL practices.</w:t>
      </w:r>
    </w:p>
    <w:p>
      <w:pPr>
        <w:pStyle w:val="ListParagraph"/>
        <w:numPr>
          <w:ilvl w:val="0"/>
          <w:numId w:val="1"/>
        </w:numPr>
        <w:spacing w:after="80" w:line="280"/>
      </w:pPr>
      <w:r>
        <w:rPr>
          <w:rFonts w:ascii="Calibri" w:cs="Calibri" w:eastAsia="Calibri" w:hAnsi="Calibri"/>
          <w:b/>
          <w:bCs/>
          <w:color w:val="1F3864"/>
          <w:sz w:val="22"/>
          <w:szCs w:val="22"/>
        </w:rPr>
        <w:t xml:space="preserve">The Statutory Audit Directive (2006/43/EC) is the single biggest legal constraint.</w:t>
      </w:r>
      <w:r>
        <w:rPr>
          <w:rFonts w:ascii="Calibri" w:cs="Calibri" w:eastAsia="Calibri" w:hAnsi="Calibri"/>
          <w:sz w:val="22"/>
          <w:szCs w:val="22"/>
        </w:rPr>
        <w:t xml:space="preserve"> EU law requires that a majority of voting rights in audit firms be held by approved auditors. The clean workaround used by every European PE roll-up: separate the audit entity (kept partner-owned) from the non-audit advisory/accounting entity (PE-owned), bound by Administrative Services Agreement (ASA).</w:t>
      </w:r>
    </w:p>
    <w:p>
      <w:pPr>
        <w:pStyle w:val="ListParagraph"/>
        <w:numPr>
          <w:ilvl w:val="0"/>
          <w:numId w:val="1"/>
        </w:numPr>
        <w:spacing w:after="80" w:line="280"/>
      </w:pPr>
      <w:r>
        <w:rPr>
          <w:rFonts w:ascii="Calibri" w:cs="Calibri" w:eastAsia="Calibri" w:hAnsi="Calibri"/>
          <w:b/>
          <w:bCs/>
          <w:color w:val="1F3864"/>
          <w:sz w:val="22"/>
          <w:szCs w:val="22"/>
        </w:rPr>
        <w:t xml:space="preserve">Target profile economics: retention is what gets paid for.</w:t>
      </w:r>
      <w:r>
        <w:rPr>
          <w:rFonts w:ascii="Calibri" w:cs="Calibri" w:eastAsia="Calibri" w:hAnsi="Calibri"/>
          <w:sz w:val="22"/>
          <w:szCs w:val="22"/>
        </w:rPr>
        <w:t xml:space="preserve"> Industry data: 80%+ recurring revenue adds 0.2–0.4x to the multiple; partner mid-career with 24-month transition unlocks the top quartile of pricing. PE deal volume in accounting went from ~22 transactions globally in 2023 to &gt;100 in 2025 — discipline on target quality, not deal count, drives returns.</w:t>
      </w:r>
    </w:p>
    <w:p>
      <w:pPr>
        <w:pStyle w:val="Heading1"/>
        <w:spacing w:after="200" w:before="360"/>
      </w:pPr>
      <w:r>
        <w:rPr>
          <w:rFonts w:ascii="Calibri" w:cs="Calibri" w:eastAsia="Calibri" w:hAnsi="Calibri"/>
          <w:b/>
          <w:bCs/>
          <w:color w:val="1F3864"/>
          <w:sz w:val="32"/>
          <w:szCs w:val="32"/>
        </w:rPr>
        <w:t xml:space="preserve">Part I — Eastern Europe deep dive</w:t>
      </w:r>
    </w:p>
    <w:p>
      <w:pPr>
        <w:pStyle w:val="Heading2"/>
        <w:spacing w:after="160" w:before="280"/>
      </w:pPr>
      <w:r>
        <w:rPr>
          <w:rFonts w:ascii="Calibri" w:cs="Calibri" w:eastAsia="Calibri" w:hAnsi="Calibri"/>
          <w:b/>
          <w:bCs/>
          <w:color w:val="2E5395"/>
          <w:sz w:val="26"/>
          <w:szCs w:val="26"/>
        </w:rPr>
        <w:t xml:space="preserve">1. Regional setup</w:t>
      </w:r>
    </w:p>
    <w:p>
      <w:pPr>
        <w:spacing w:after="120" w:line="300"/>
        <w:jc w:val="both"/>
      </w:pPr>
      <w:r>
        <w:rPr>
          <w:rFonts w:ascii="Calibri" w:cs="Calibri" w:eastAsia="Calibri" w:hAnsi="Calibri"/>
          <w:b w:val="false"/>
          <w:bCs w:val="false"/>
          <w:i w:val="false"/>
          <w:iCs w:val="false"/>
          <w:sz w:val="22"/>
          <w:szCs w:val="22"/>
        </w:rPr>
        <w:t xml:space="preserve">CEE is two distinct sub-regions for accounting roll-up purposes: the 'Visegrad core' (Poland, Czech Republic, Slovakia, Hungary) where outsourced finance &amp; accounting has been an established export industry since the early 2000s, and the 'second wave' (Romania, Bulgaria, Baltics) where local SMB demand is now growing faster than the BPO/SSC component. Multiples sit at a 25–35% discount to Western Europe (CEE median EV/EBITDA ~6.7x vs ~9.4x EU ex-CEE, per Aventis Advisors and Dealsuite CEE M&amp;A Monitor). Labor costs ~40% below Western Europe (Eurofound, via CBI).</w:t>
      </w:r>
    </w:p>
    <w:p>
      <w:pPr>
        <w:spacing w:after="120" w:line="300"/>
        <w:jc w:val="both"/>
      </w:pPr>
      <w:r>
        <w:rPr>
          <w:rFonts w:ascii="Calibri" w:cs="Calibri" w:eastAsia="Calibri" w:hAnsi="Calibri"/>
          <w:b w:val="false"/>
          <w:bCs w:val="false"/>
          <w:i w:val="false"/>
          <w:iCs w:val="false"/>
          <w:sz w:val="22"/>
          <w:szCs w:val="22"/>
        </w:rPr>
        <w:t xml:space="preserve">The dominant strategic question for CEE: are you building (a) a domestic SMB-services consolidator that captures local demand growth and regulatory tailwinds, or (b) a nearshore F&amp;A captive that sells offshored bookkeeping/payroll services into Western Europe? These are different businesses with different exit multiples — (a) trades like a domestic services firm (5–8x EBITDA at scale), (b) trades like a BPO platform (7–11x). Most successful CEE accounting plays mix the two.</w:t>
      </w:r>
    </w:p>
    <w:p>
      <w:pPr>
        <w:pStyle w:val="Heading2"/>
        <w:spacing w:after="160" w:before="280"/>
      </w:pPr>
      <w:r>
        <w:rPr>
          <w:rFonts w:ascii="Calibri" w:cs="Calibri" w:eastAsia="Calibri" w:hAnsi="Calibri"/>
          <w:b/>
          <w:bCs/>
          <w:color w:val="2E5395"/>
          <w:sz w:val="26"/>
          <w:szCs w:val="26"/>
        </w:rPr>
        <w:t xml:space="preserve">2. Poland — the highest-conviction CEE bet</w:t>
      </w:r>
    </w:p>
    <w:p>
      <w:pPr>
        <w:pStyle w:val="Heading3"/>
        <w:spacing w:after="120" w:before="220"/>
      </w:pPr>
      <w:r>
        <w:rPr>
          <w:rFonts w:ascii="Calibri" w:cs="Calibri" w:eastAsia="Calibri" w:hAnsi="Calibri"/>
          <w:b/>
          <w:bCs/>
          <w:color w:val="2E5395"/>
          <w:sz w:val="23"/>
          <w:szCs w:val="23"/>
        </w:rPr>
        <w:t xml:space="preserve">Market structure</w:t>
      </w:r>
    </w:p>
    <w:p>
      <w:pPr>
        <w:spacing w:after="120" w:line="300"/>
        <w:jc w:val="both"/>
      </w:pPr>
      <w:r>
        <w:rPr>
          <w:rFonts w:ascii="Calibri" w:cs="Calibri" w:eastAsia="Calibri" w:hAnsi="Calibri"/>
          <w:b w:val="false"/>
          <w:bCs w:val="false"/>
          <w:i w:val="false"/>
          <w:iCs w:val="false"/>
          <w:sz w:val="22"/>
          <w:szCs w:val="22"/>
        </w:rPr>
        <w:t xml:space="preserve">Poland has ~40,000–50,000 active accounting / bookkeeping firms by trade-registry count, of which an estimated 2,500–4,000 are 'real' multi-client practices with &gt;5 staff. The market is highly fragmented with no domestic player above ~1–2% share. Foreign-headquartered networks (Grant Thornton, Mazars/Forvis Mazars, BDO, Crowe, Accace, Leinonen) consolidate the top end; the middle and bottom are owner-operated.</w:t>
      </w:r>
    </w:p>
    <w:p>
      <w:pPr>
        <w:pStyle w:val="Heading3"/>
        <w:spacing w:after="120" w:before="220"/>
      </w:pPr>
      <w:r>
        <w:rPr>
          <w:rFonts w:ascii="Calibri" w:cs="Calibri" w:eastAsia="Calibri" w:hAnsi="Calibri"/>
          <w:b/>
          <w:bCs/>
          <w:color w:val="2E5395"/>
          <w:sz w:val="23"/>
          <w:szCs w:val="23"/>
        </w:rPr>
        <w:t xml:space="preserve">Regulatory tailwind: KSeF e-invoicing</w:t>
      </w:r>
    </w:p>
    <w:p>
      <w:pPr>
        <w:spacing w:after="120" w:line="300"/>
        <w:jc w:val="both"/>
      </w:pPr>
      <w:r>
        <w:rPr>
          <w:rFonts w:ascii="Calibri" w:cs="Calibri" w:eastAsia="Calibri" w:hAnsi="Calibri"/>
          <w:b w:val="false"/>
          <w:bCs w:val="false"/>
          <w:i w:val="false"/>
          <w:iCs w:val="false"/>
          <w:sz w:val="22"/>
          <w:szCs w:val="22"/>
        </w:rPr>
        <w:t xml:space="preserve">Poland's KSeF (Krajowy System e-Faktur) becomes mandatory for B2B in two waves: Feb 2026 (taxpayers &gt;PLN 200M / ~€46M turnover) and April 2026 (everyone else). SMEs/micros got a deferred mandate to Jan 2027. The system feeds JPK_VDEK (SAF-T VAT) directly — invoices issued outside KSeF get rejected. Every Polish bookkeeping firm now has 12–18 months to re-tool. Those that can't will either (a) lose clients to firms that did re-tool, or (b) sell. This is the cleanest forced-consolidation trigger in any European accounting market today (Sovos, Avalara, EDICOM).</w:t>
      </w:r>
    </w:p>
    <w:p>
      <w:pPr>
        <w:pStyle w:val="Heading3"/>
        <w:spacing w:after="120" w:before="220"/>
      </w:pPr>
      <w:r>
        <w:rPr>
          <w:rFonts w:ascii="Calibri" w:cs="Calibri" w:eastAsia="Calibri" w:hAnsi="Calibri"/>
          <w:b/>
          <w:bCs/>
          <w:color w:val="2E5395"/>
          <w:sz w:val="23"/>
          <w:szCs w:val="23"/>
        </w:rPr>
        <w:t xml:space="preserve">AI/tech adoption baseline</w:t>
      </w:r>
    </w:p>
    <w:p>
      <w:pPr>
        <w:spacing w:after="120" w:line="300"/>
        <w:jc w:val="both"/>
      </w:pPr>
      <w:r>
        <w:rPr>
          <w:rFonts w:ascii="Calibri" w:cs="Calibri" w:eastAsia="Calibri" w:hAnsi="Calibri"/>
          <w:b w:val="false"/>
          <w:bCs w:val="false"/>
          <w:i w:val="false"/>
          <w:iCs w:val="false"/>
          <w:sz w:val="22"/>
          <w:szCs w:val="22"/>
        </w:rPr>
        <w:t xml:space="preserve">Poland's bookkeeping market is already further into digital than most of CEE — IFIRMA and similar platforms have material SMB penetration, JPK_VAT (SAF-T) has been live since 2018, and KSeF essentially forces remaining laggards onto digital rails. This means margin expansion from AI will be incremental rather than transformational: think 15–25% labor productivity, not the 30–40% available in less-digitized markets. The defensible play is consolidating practices that serve clients with complex compliance burdens (foreign-parent subsidiaries, cross-border VAT) where regulation, not labor cost, is the moat.</w:t>
      </w:r>
    </w:p>
    <w:p>
      <w:pPr>
        <w:pStyle w:val="Heading3"/>
        <w:spacing w:after="120" w:before="220"/>
      </w:pPr>
      <w:r>
        <w:rPr>
          <w:rFonts w:ascii="Calibri" w:cs="Calibri" w:eastAsia="Calibri" w:hAnsi="Calibri"/>
          <w:b/>
          <w:bCs/>
          <w:color w:val="2E5395"/>
          <w:sz w:val="23"/>
          <w:szCs w:val="23"/>
        </w:rPr>
        <w:t xml:space="preserve">Deal environment</w:t>
      </w:r>
    </w:p>
    <w:p>
      <w:pPr>
        <w:spacing w:after="120" w:line="300"/>
        <w:jc w:val="both"/>
      </w:pPr>
      <w:r>
        <w:rPr>
          <w:rFonts w:ascii="Calibri" w:cs="Calibri" w:eastAsia="Calibri" w:hAnsi="Calibri"/>
          <w:b w:val="false"/>
          <w:bCs w:val="false"/>
          <w:i w:val="false"/>
          <w:iCs w:val="false"/>
          <w:sz w:val="22"/>
          <w:szCs w:val="22"/>
        </w:rPr>
        <w:t xml:space="preserve">Polish M&amp;A activity rebounded post-2023 but Q1 2025 deal count was 78, -18% YoY (Chambers, Wolf Theiss). Services/consulting consolidation is an active theme but accounting-specific consolidation is slowed by tax &amp; regulatory barriers between firms (different VAT regimes for fee structures, partner liability rules). Realistic multiples: 4–6x EBITDA for €0.3–1M EBITDA firms; 6–8x for €1–3M platforms with strong recurring book.</w:t>
      </w:r>
    </w:p>
    <w:p>
      <w:pPr>
        <w:pStyle w:val="Heading2"/>
        <w:spacing w:after="160" w:before="280"/>
      </w:pPr>
      <w:r>
        <w:rPr>
          <w:rFonts w:ascii="Calibri" w:cs="Calibri" w:eastAsia="Calibri" w:hAnsi="Calibri"/>
          <w:b/>
          <w:bCs/>
          <w:color w:val="2E5395"/>
          <w:sz w:val="26"/>
          <w:szCs w:val="26"/>
        </w:rPr>
        <w:t xml:space="preserve">3. Czech Republic + Slovakia</w:t>
      </w:r>
    </w:p>
    <w:p>
      <w:pPr>
        <w:spacing w:after="120" w:line="300"/>
        <w:jc w:val="both"/>
      </w:pPr>
      <w:r>
        <w:rPr>
          <w:rFonts w:ascii="Calibri" w:cs="Calibri" w:eastAsia="Calibri" w:hAnsi="Calibri"/>
          <w:b w:val="false"/>
          <w:bCs w:val="false"/>
          <w:i w:val="false"/>
          <w:iCs w:val="false"/>
          <w:sz w:val="22"/>
          <w:szCs w:val="22"/>
        </w:rPr>
        <w:t xml:space="preserve">Czech market is structurally similar to Poland but smaller (~10–12,000 active firms) and has seen more recent consolidation — Grant Thornton Czech grew via merger to CZK 750M+ revenue / 400+ professionals (consolidating from mid-tier acquisitions). Slovakia is functionally a satellite market — ~3–4,000 firms, heavily tied to Czech advisors. Both have working SAF-T / control statement regimes.</w:t>
      </w:r>
    </w:p>
    <w:p>
      <w:pPr>
        <w:spacing w:after="120" w:line="300"/>
        <w:jc w:val="both"/>
      </w:pPr>
      <w:r>
        <w:rPr>
          <w:rFonts w:ascii="Calibri" w:cs="Calibri" w:eastAsia="Calibri" w:hAnsi="Calibri"/>
          <w:b w:val="false"/>
          <w:bCs w:val="false"/>
          <w:i w:val="false"/>
          <w:iCs w:val="false"/>
          <w:sz w:val="22"/>
          <w:szCs w:val="22"/>
        </w:rPr>
        <w:t xml:space="preserve">The Czech opportunity: clean regulatory environment, English/German-speaking talent, EUR pricing for cross-border work despite local CZK base. The constraint: Czech Competition Authority has been increasingly aggressive on un-notified mergers (Chambers Merger Control 2025), so a roll-up strategy must build clean notification workflow from day one. Multiples 5–7x EBITDA mid-range.</w:t>
      </w:r>
    </w:p>
    <w:p>
      <w:pPr>
        <w:pStyle w:val="Heading2"/>
        <w:spacing w:after="160" w:before="280"/>
      </w:pPr>
      <w:r>
        <w:rPr>
          <w:rFonts w:ascii="Calibri" w:cs="Calibri" w:eastAsia="Calibri" w:hAnsi="Calibri"/>
          <w:b/>
          <w:bCs/>
          <w:color w:val="2E5395"/>
          <w:sz w:val="26"/>
          <w:szCs w:val="26"/>
        </w:rPr>
        <w:t xml:space="preserve">4. Romania — the dark-horse second-wave market</w:t>
      </w:r>
    </w:p>
    <w:p>
      <w:pPr>
        <w:spacing w:after="120" w:line="300"/>
        <w:jc w:val="both"/>
      </w:pPr>
      <w:r>
        <w:rPr>
          <w:rFonts w:ascii="Calibri" w:cs="Calibri" w:eastAsia="Calibri" w:hAnsi="Calibri"/>
          <w:b w:val="false"/>
          <w:bCs w:val="false"/>
          <w:i w:val="false"/>
          <w:iCs w:val="false"/>
          <w:sz w:val="22"/>
          <w:szCs w:val="22"/>
        </w:rPr>
        <w:t xml:space="preserve">Romania is the most-overlooked accounting market in the EU. ~35,000+ accounting &amp; bookkeeping firms (most of them very small), strong demand growth from domestic SMBs and from F&amp;A captives owned by Western European companies that nearshore back-office work. Romania's RO e-Factura mandate is already in force (B2B from July 2024), so the digital tailwind has happened — winners and losers have not yet sorted out at scale.</w:t>
      </w:r>
    </w:p>
    <w:p>
      <w:pPr>
        <w:spacing w:after="120" w:line="300"/>
        <w:jc w:val="both"/>
      </w:pPr>
      <w:r>
        <w:rPr>
          <w:rFonts w:ascii="Calibri" w:cs="Calibri" w:eastAsia="Calibri" w:hAnsi="Calibri"/>
          <w:b w:val="false"/>
          <w:bCs w:val="false"/>
          <w:i w:val="false"/>
          <w:iCs w:val="false"/>
          <w:sz w:val="22"/>
          <w:szCs w:val="22"/>
        </w:rPr>
        <w:t xml:space="preserve">Labor cost is the lowest among EU CEE markets but rising fast (12–18% YoY in core accounting roles, 2023–2025). The accounting roll-up thesis here is closer to BPO arbitrage than to domestic consolidation: build a multilingual nearshore engine for Italian, Spanish, French clients (huge Romanian language overlap with Romance languages plus inherited English/French/Italian skills). Accace, Leinonen, and Mazars/Forvis Mazars are already in this space. Multiples lower: 3.5–5.5x EBITDA below €500K, 5.5–7x above.</w:t>
      </w:r>
    </w:p>
    <w:p>
      <w:pPr>
        <w:pStyle w:val="Heading2"/>
        <w:spacing w:after="160" w:before="280"/>
      </w:pPr>
      <w:r>
        <w:rPr>
          <w:rFonts w:ascii="Calibri" w:cs="Calibri" w:eastAsia="Calibri" w:hAnsi="Calibri"/>
          <w:b/>
          <w:bCs/>
          <w:color w:val="2E5395"/>
          <w:sz w:val="26"/>
          <w:szCs w:val="26"/>
        </w:rPr>
        <w:t xml:space="preserve">5. Hungary</w:t>
      </w:r>
    </w:p>
    <w:p>
      <w:pPr>
        <w:spacing w:after="120" w:line="300"/>
        <w:jc w:val="both"/>
      </w:pPr>
      <w:r>
        <w:rPr>
          <w:rFonts w:ascii="Calibri" w:cs="Calibri" w:eastAsia="Calibri" w:hAnsi="Calibri"/>
          <w:b w:val="false"/>
          <w:bCs w:val="false"/>
          <w:i w:val="false"/>
          <w:iCs w:val="false"/>
          <w:sz w:val="22"/>
          <w:szCs w:val="22"/>
        </w:rPr>
        <w:t xml:space="preserve">Smaller market (~10,000 firms), heavy regulatory burden (frequent tax-code changes are a feature of doing business), but high English-language penetration in Budapest and strong international-company subsidiary work. PE activity in Hungary in 2023 was 57 deals / ~€3B total (Schoenherr, CMS) but the accounting sector specifically is not a visible PE theme.</w:t>
      </w:r>
    </w:p>
    <w:p>
      <w:pPr>
        <w:spacing w:after="120" w:line="300"/>
        <w:jc w:val="both"/>
      </w:pPr>
      <w:r>
        <w:rPr>
          <w:rFonts w:ascii="Calibri" w:cs="Calibri" w:eastAsia="Calibri" w:hAnsi="Calibri"/>
          <w:b w:val="false"/>
          <w:bCs w:val="false"/>
          <w:i w:val="false"/>
          <w:iCs w:val="false"/>
          <w:sz w:val="22"/>
          <w:szCs w:val="22"/>
        </w:rPr>
        <w:t xml:space="preserve">The pitch is similar to Czech but the addressable market is smaller and the regulatory risk is higher (post-2010 political risk premium remains). Suitable as a bolt-on geography, not a platform geography. Realistic multiples 4–6x EBITDA.</w:t>
      </w:r>
    </w:p>
    <w:p>
      <w:pPr>
        <w:pStyle w:val="Heading2"/>
        <w:spacing w:after="160" w:before="280"/>
      </w:pPr>
      <w:r>
        <w:rPr>
          <w:rFonts w:ascii="Calibri" w:cs="Calibri" w:eastAsia="Calibri" w:hAnsi="Calibri"/>
          <w:b/>
          <w:bCs/>
          <w:color w:val="2E5395"/>
          <w:sz w:val="26"/>
          <w:szCs w:val="26"/>
        </w:rPr>
        <w:t xml:space="preserve">6. Baltics (Estonia, Latvia, Lithuania)</w:t>
      </w:r>
    </w:p>
    <w:p>
      <w:pPr>
        <w:spacing w:after="120" w:line="300"/>
        <w:jc w:val="both"/>
      </w:pPr>
      <w:r>
        <w:rPr>
          <w:rFonts w:ascii="Calibri" w:cs="Calibri" w:eastAsia="Calibri" w:hAnsi="Calibri"/>
          <w:b w:val="false"/>
          <w:bCs w:val="false"/>
          <w:i w:val="false"/>
          <w:iCs w:val="false"/>
          <w:sz w:val="22"/>
          <w:szCs w:val="22"/>
        </w:rPr>
        <w:t xml:space="preserve">Estonia is the most digitally advanced accounting market in Europe — XBRL/e-tax has been a baseline since the early 2010s. The market is also tiny (Estonia population 1.3M, total accounting firms estimated &lt;1,500). Latvia and Lithuania together add another ~3,500 firms with less-developed digital infrastructure but lower cost. Grant Thornton, BDO, Leinonen, KPMG, and Crowe operate locally.</w:t>
      </w:r>
    </w:p>
    <w:p>
      <w:pPr>
        <w:spacing w:after="120" w:line="300"/>
        <w:jc w:val="both"/>
      </w:pPr>
      <w:r>
        <w:rPr>
          <w:rFonts w:ascii="Calibri" w:cs="Calibri" w:eastAsia="Calibri" w:hAnsi="Calibri"/>
          <w:b w:val="false"/>
          <w:bCs w:val="false"/>
          <w:i w:val="false"/>
          <w:iCs w:val="false"/>
          <w:sz w:val="22"/>
          <w:szCs w:val="22"/>
        </w:rPr>
        <w:t xml:space="preserve">Baltics make sense as a regional cluster (one platform across all three) sold either as a Nordics-Baltic services hub or as a niche digital-first model that exports to Western EU. Not a standalone platform geography because of scale. Multiples 4–6.5x EBITDA, higher for Estonian e-residency-related work.</w:t>
      </w:r>
    </w:p>
    <w:p>
      <w:pPr>
        <w:pStyle w:val="Heading2"/>
        <w:spacing w:after="160" w:before="280"/>
      </w:pPr>
      <w:r>
        <w:rPr>
          <w:rFonts w:ascii="Calibri" w:cs="Calibri" w:eastAsia="Calibri" w:hAnsi="Calibri"/>
          <w:b/>
          <w:bCs/>
          <w:color w:val="2E5395"/>
          <w:sz w:val="26"/>
          <w:szCs w:val="26"/>
        </w:rPr>
        <w:t xml:space="preserve">7. CEE — comparative scorecard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1F3864" w:color="1F3864" w:val="solid"/>
          </w:tcPr>
          <w:p>
            <w:pPr>
              <w:spacing w:after="60" w:before="60"/>
              <w:jc w:val="left"/>
            </w:pPr>
            <w:r>
              <w:rPr>
                <w:rFonts w:ascii="Calibri" w:cs="Calibri" w:eastAsia="Calibri" w:hAnsi="Calibri"/>
                <w:b/>
                <w:bCs/>
                <w:color w:val="FFFFFF"/>
                <w:sz w:val="20"/>
                <w:szCs w:val="20"/>
              </w:rPr>
              <w:t xml:space="preserve">Country</w:t>
            </w:r>
          </w:p>
        </w:tc>
        <w:tc>
          <w:tcPr>
            <w:tcW w:type="dxa" w:w="1100"/>
            <w:shd w:fill="1F3864" w:color="1F3864" w:val="solid"/>
          </w:tcPr>
          <w:p>
            <w:pPr>
              <w:spacing w:after="60" w:before="60"/>
              <w:jc w:val="left"/>
            </w:pPr>
            <w:r>
              <w:rPr>
                <w:rFonts w:ascii="Calibri" w:cs="Calibri" w:eastAsia="Calibri" w:hAnsi="Calibri"/>
                <w:b/>
                <w:bCs/>
                <w:color w:val="FFFFFF"/>
                <w:sz w:val="20"/>
                <w:szCs w:val="20"/>
              </w:rPr>
              <w:t xml:space="preserve">Fragmentation</w:t>
            </w:r>
          </w:p>
        </w:tc>
        <w:tc>
          <w:tcPr>
            <w:tcW w:type="dxa" w:w="1400"/>
            <w:shd w:fill="1F3864" w:color="1F3864" w:val="solid"/>
          </w:tcPr>
          <w:p>
            <w:pPr>
              <w:spacing w:after="60" w:before="60"/>
              <w:jc w:val="left"/>
            </w:pPr>
            <w:r>
              <w:rPr>
                <w:rFonts w:ascii="Calibri" w:cs="Calibri" w:eastAsia="Calibri" w:hAnsi="Calibri"/>
                <w:b/>
                <w:bCs/>
                <w:color w:val="FFFFFF"/>
                <w:sz w:val="20"/>
                <w:szCs w:val="20"/>
              </w:rPr>
              <w:t xml:space="preserve">Reg. tailwind</w:t>
            </w:r>
          </w:p>
        </w:tc>
        <w:tc>
          <w:tcPr>
            <w:tcW w:type="dxa" w:w="1300"/>
            <w:shd w:fill="1F3864" w:color="1F3864" w:val="solid"/>
          </w:tcPr>
          <w:p>
            <w:pPr>
              <w:spacing w:after="60" w:before="60"/>
              <w:jc w:val="left"/>
            </w:pPr>
            <w:r>
              <w:rPr>
                <w:rFonts w:ascii="Calibri" w:cs="Calibri" w:eastAsia="Calibri" w:hAnsi="Calibri"/>
                <w:b/>
                <w:bCs/>
                <w:color w:val="FFFFFF"/>
                <w:sz w:val="20"/>
                <w:szCs w:val="20"/>
              </w:rPr>
              <w:t xml:space="preserve">AI margin lift</w:t>
            </w:r>
          </w:p>
        </w:tc>
        <w:tc>
          <w:tcPr>
            <w:tcW w:type="dxa" w:w="1100"/>
            <w:shd w:fill="1F3864" w:color="1F3864" w:val="solid"/>
          </w:tcPr>
          <w:p>
            <w:pPr>
              <w:spacing w:after="60" w:before="60"/>
              <w:jc w:val="left"/>
            </w:pPr>
            <w:r>
              <w:rPr>
                <w:rFonts w:ascii="Calibri" w:cs="Calibri" w:eastAsia="Calibri" w:hAnsi="Calibri"/>
                <w:b/>
                <w:bCs/>
                <w:color w:val="FFFFFF"/>
                <w:sz w:val="20"/>
                <w:szCs w:val="20"/>
              </w:rPr>
              <w:t xml:space="preserve">Multiple band</w:t>
            </w:r>
          </w:p>
        </w:tc>
        <w:tc>
          <w:tcPr>
            <w:tcW w:type="dxa" w:w="1400"/>
            <w:shd w:fill="1F3864" w:color="1F3864" w:val="solid"/>
          </w:tcPr>
          <w:p>
            <w:pPr>
              <w:spacing w:after="60" w:before="60"/>
              <w:jc w:val="left"/>
            </w:pPr>
            <w:r>
              <w:rPr>
                <w:rFonts w:ascii="Calibri" w:cs="Calibri" w:eastAsia="Calibri" w:hAnsi="Calibri"/>
                <w:b/>
                <w:bCs/>
                <w:color w:val="FFFFFF"/>
                <w:sz w:val="20"/>
                <w:szCs w:val="20"/>
              </w:rPr>
              <w:t xml:space="preserve">Verdict</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Poland</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High</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KSeF 2026</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Med (15–25%)</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4–8x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Tier 1</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Romania</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Very high</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e-Factura live</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High (25–40%)</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3.5–7x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Tier 1</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Czech R.</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Medium</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SAF-T live</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Med (15–25%)</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5–7x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Tier 2</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Slovakia</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Medium</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SAF-T live</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Med (15–25%)</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4–6.5x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Bolt-on</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Hungary</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Medium</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Frequent changes</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Med (20–30%)</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4–6x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Bolt-on</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Baltics</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Low (Estonia)</w:t>
            </w:r>
          </w:p>
        </w:tc>
        <w:tc>
          <w:tcPr>
            <w:tcW w:type="dxa" w:w="1400"/>
            <w:shd w:fill="FFFFFF" w:color="FFFFFF" w:val="solid"/>
          </w:tcPr>
          <w:p>
            <w:pPr>
              <w:spacing w:after="60" w:before="60"/>
              <w:jc w:val="left"/>
            </w:pPr>
            <w:r>
              <w:rPr>
                <w:rFonts w:ascii="Calibri" w:cs="Calibri" w:eastAsia="Calibri" w:hAnsi="Calibri"/>
                <w:b w:val="false"/>
                <w:bCs w:val="false"/>
                <w:sz w:val="20"/>
                <w:szCs w:val="20"/>
              </w:rPr>
              <w:t xml:space="preserve">Mature digital</w:t>
            </w:r>
          </w:p>
        </w:tc>
        <w:tc>
          <w:tcPr>
            <w:tcW w:type="dxa" w:w="1300"/>
            <w:shd w:fill="F2F2F2" w:color="F2F2F2" w:val="solid"/>
          </w:tcPr>
          <w:p>
            <w:pPr>
              <w:spacing w:after="60" w:before="60"/>
              <w:jc w:val="left"/>
            </w:pPr>
            <w:r>
              <w:rPr>
                <w:rFonts w:ascii="Calibri" w:cs="Calibri" w:eastAsia="Calibri" w:hAnsi="Calibri"/>
                <w:b w:val="false"/>
                <w:bCs w:val="false"/>
                <w:sz w:val="20"/>
                <w:szCs w:val="20"/>
              </w:rPr>
              <w:t xml:space="preserve">Low (10–15%)</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4–6.5x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Cluster bolt-on</w:t>
            </w:r>
          </w:p>
        </w:tc>
      </w:tr>
    </w:tbl>
    <w:p>
      <w:pPr>
        <w:spacing w:after="120" w:line="300"/>
        <w:jc w:val="both"/>
      </w:pPr>
      <w:r>
        <w:rPr>
          <w:rFonts w:ascii="Calibri" w:cs="Calibri" w:eastAsia="Calibri" w:hAnsi="Calibri"/>
          <w:b w:val="false"/>
          <w:bCs w:val="false"/>
          <w:i w:val="false"/>
          <w:iCs w:val="false"/>
          <w:sz w:val="22"/>
          <w:szCs w:val="22"/>
        </w:rPr>
        <w:t xml:space="preserve"> </w:t>
      </w:r>
    </w:p>
    <w:p>
      <w:pPr>
        <w:pStyle w:val="Heading1"/>
        <w:spacing w:after="200" w:before="360"/>
      </w:pPr>
      <w:r>
        <w:rPr>
          <w:rFonts w:ascii="Calibri" w:cs="Calibri" w:eastAsia="Calibri" w:hAnsi="Calibri"/>
          <w:b/>
          <w:bCs/>
          <w:color w:val="1F3864"/>
          <w:sz w:val="32"/>
          <w:szCs w:val="32"/>
        </w:rPr>
        <w:t xml:space="preserve">Part II — Southern Europe deep dive</w:t>
      </w:r>
    </w:p>
    <w:p>
      <w:pPr>
        <w:pStyle w:val="Heading2"/>
        <w:spacing w:after="160" w:before="280"/>
      </w:pPr>
      <w:r>
        <w:rPr>
          <w:rFonts w:ascii="Calibri" w:cs="Calibri" w:eastAsia="Calibri" w:hAnsi="Calibri"/>
          <w:b/>
          <w:bCs/>
          <w:color w:val="2E5395"/>
          <w:sz w:val="26"/>
          <w:szCs w:val="26"/>
        </w:rPr>
        <w:t xml:space="preserve">1. Regional setup</w:t>
      </w:r>
    </w:p>
    <w:p>
      <w:pPr>
        <w:spacing w:after="120" w:line="300"/>
        <w:jc w:val="both"/>
      </w:pPr>
      <w:r>
        <w:rPr>
          <w:rFonts w:ascii="Calibri" w:cs="Calibri" w:eastAsia="Calibri" w:hAnsi="Calibri"/>
          <w:b w:val="false"/>
          <w:bCs w:val="false"/>
          <w:i w:val="false"/>
          <w:iCs w:val="false"/>
          <w:sz w:val="22"/>
          <w:szCs w:val="22"/>
        </w:rPr>
        <w:t xml:space="preserve">SEE is the largest absolute pool of un-consolidated accounting practices in Europe. Italy alone has 120,000+ registered commercialisti and an additional layer of esperti contabili and bookkeeping-only firms. Spain has tens of thousands of asesorías and gestorías. Portugal has 12,847 accounting companies (per CompanyData / Portugal-Accounting industry data). Greece has a heavily regulated but fragmented market. The macro: family-owned practices, single-owner sole proprietorships, late-career partners with no internal succession, low AI/automation baseline.</w:t>
      </w:r>
    </w:p>
    <w:p>
      <w:pPr>
        <w:spacing w:after="120" w:line="300"/>
        <w:jc w:val="both"/>
      </w:pPr>
      <w:r>
        <w:rPr>
          <w:rFonts w:ascii="Calibri" w:cs="Calibri" w:eastAsia="Calibri" w:hAnsi="Calibri"/>
          <w:b w:val="false"/>
          <w:bCs w:val="false"/>
          <w:i w:val="false"/>
          <w:iCs w:val="false"/>
          <w:sz w:val="22"/>
          <w:szCs w:val="22"/>
        </w:rPr>
        <w:t xml:space="preserve">The single biggest reason SEE has been under-consolidated: legacy guild structures (ODCEC in Italy, Colegio de Economistas / Colegio de Gestores in Spain, OCC / Ordem dos Contabilistas Certificados in Portugal) historically restricted firm ownership to licensed professionals. Italy's STP regime (Law 183/2011, Ministerial Decree 34/2013) cracked this open: an STP can include 1/3 non-professional shareholders, and an STP can be structured as an SRL — meaning rolled-up corporate ownership is now legally clean. Spain and Portugal have similar (less liberal) carve-outs.</w:t>
      </w:r>
    </w:p>
    <w:p>
      <w:pPr>
        <w:pStyle w:val="Heading2"/>
        <w:spacing w:after="160" w:before="280"/>
      </w:pPr>
      <w:r>
        <w:rPr>
          <w:rFonts w:ascii="Calibri" w:cs="Calibri" w:eastAsia="Calibri" w:hAnsi="Calibri"/>
          <w:b/>
          <w:bCs/>
          <w:color w:val="2E5395"/>
          <w:sz w:val="26"/>
          <w:szCs w:val="26"/>
        </w:rPr>
        <w:t xml:space="preserve">2. Italy — the deepest pool</w:t>
      </w:r>
    </w:p>
    <w:p>
      <w:pPr>
        <w:pStyle w:val="Heading3"/>
        <w:spacing w:after="120" w:before="220"/>
      </w:pPr>
      <w:r>
        <w:rPr>
          <w:rFonts w:ascii="Calibri" w:cs="Calibri" w:eastAsia="Calibri" w:hAnsi="Calibri"/>
          <w:b/>
          <w:bCs/>
          <w:color w:val="2E5395"/>
          <w:sz w:val="23"/>
          <w:szCs w:val="23"/>
        </w:rPr>
        <w:t xml:space="preserve">Market structure</w:t>
      </w:r>
    </w:p>
    <w:p>
      <w:pPr>
        <w:spacing w:after="120" w:line="300"/>
        <w:jc w:val="both"/>
      </w:pPr>
      <w:r>
        <w:rPr>
          <w:rFonts w:ascii="Calibri" w:cs="Calibri" w:eastAsia="Calibri" w:hAnsi="Calibri"/>
          <w:b w:val="false"/>
          <w:bCs w:val="false"/>
          <w:i w:val="false"/>
          <w:iCs w:val="false"/>
          <w:sz w:val="22"/>
          <w:szCs w:val="22"/>
        </w:rPr>
        <w:t xml:space="preserve">Italy has the highest density of professional accountants per capita in Europe. ~120,000 commercialisti registered with ODCEC (CNDCEC). STP firms — the corporate-vehicle path for professional partnerships — passed ~2,054 across all professions by the 2021 baseline (Filodiritto, Fondazione Nazionale Commercialisti), with lawyers and accountants accounting for roughly half. Lombardy (803), Lazio (476), and Veneto (467) have the highest STP density.</w:t>
      </w:r>
    </w:p>
    <w:p>
      <w:pPr>
        <w:spacing w:after="120" w:line="300"/>
        <w:jc w:val="both"/>
      </w:pPr>
      <w:r>
        <w:rPr>
          <w:rFonts w:ascii="Calibri" w:cs="Calibri" w:eastAsia="Calibri" w:hAnsi="Calibri"/>
          <w:b w:val="false"/>
          <w:bCs w:val="false"/>
          <w:i w:val="false"/>
          <w:iCs w:val="false"/>
          <w:sz w:val="22"/>
          <w:szCs w:val="22"/>
        </w:rPr>
        <w:t xml:space="preserve">Practice economics: the typical Italian commercialista runs a studio of 4–12 staff serving 80–250 SMB clients; recurring book is dominated by tax filings, monthly bookkeeping, payroll, IVA, and IRAP/IRES compliance; advisory revenue is under-developed. Pricing is per-client / per-engagement, lower than NL/UK/DE comparable practices on a per-FTE basis. Owner age skews 55–70+: succession is the single biggest unforced motivator for sellers.</w:t>
      </w:r>
    </w:p>
    <w:p>
      <w:pPr>
        <w:pStyle w:val="Heading3"/>
        <w:spacing w:after="120" w:before="220"/>
      </w:pPr>
      <w:r>
        <w:rPr>
          <w:rFonts w:ascii="Calibri" w:cs="Calibri" w:eastAsia="Calibri" w:hAnsi="Calibri"/>
          <w:b/>
          <w:bCs/>
          <w:color w:val="2E5395"/>
          <w:sz w:val="23"/>
          <w:szCs w:val="23"/>
        </w:rPr>
        <w:t xml:space="preserve">Regulatory &amp; ownership</w:t>
      </w:r>
    </w:p>
    <w:p>
      <w:pPr>
        <w:spacing w:after="120" w:line="300"/>
        <w:jc w:val="both"/>
      </w:pPr>
      <w:r>
        <w:rPr>
          <w:rFonts w:ascii="Calibri" w:cs="Calibri" w:eastAsia="Calibri" w:hAnsi="Calibri"/>
          <w:b w:val="false"/>
          <w:bCs w:val="false"/>
          <w:i w:val="false"/>
          <w:iCs w:val="false"/>
          <w:sz w:val="22"/>
          <w:szCs w:val="22"/>
        </w:rPr>
        <w:t xml:space="preserve">STP regime: an STP can be an SRL, SPA, or SAS; up to one-third of shareholders can be non-professionals; the firm name and signing partners must still be licensed; an SRL-STP can be acquired and held by a holding company. This is the cleanest PE-roll-up vehicle in SEE. The non-audit constraint from the EU Statutory Audit Directive (2006/43/EC) still applies if the target does statutory audit work — clean solution is to separate audit (kept partner-owned) from accounting/advisory (PE-owned), linked by ASA (Administrative Services Agreement). ODCEC ownership rules for non-audit work are permissive.</w:t>
      </w:r>
    </w:p>
    <w:p>
      <w:pPr>
        <w:pStyle w:val="Heading3"/>
        <w:spacing w:after="120" w:before="220"/>
      </w:pPr>
      <w:r>
        <w:rPr>
          <w:rFonts w:ascii="Calibri" w:cs="Calibri" w:eastAsia="Calibri" w:hAnsi="Calibri"/>
          <w:b/>
          <w:bCs/>
          <w:color w:val="2E5395"/>
          <w:sz w:val="23"/>
          <w:szCs w:val="23"/>
        </w:rPr>
        <w:t xml:space="preserve">Deal environment</w:t>
      </w:r>
    </w:p>
    <w:p>
      <w:pPr>
        <w:spacing w:after="120" w:line="300"/>
        <w:jc w:val="both"/>
      </w:pPr>
      <w:r>
        <w:rPr>
          <w:rFonts w:ascii="Calibri" w:cs="Calibri" w:eastAsia="Calibri" w:hAnsi="Calibri"/>
          <w:b w:val="false"/>
          <w:bCs w:val="false"/>
          <w:i w:val="false"/>
          <w:iCs w:val="false"/>
          <w:sz w:val="22"/>
          <w:szCs w:val="22"/>
        </w:rPr>
        <w:t xml:space="preserve">Italian PE deal volume hit a near-record 2024 in absolute amounts invested (PwC Italy, AIFI / Bancaria Editrice annual report). The lower-mid-market — typically called the 'lower mid-market' or 'small cap' segment, deal values €5–50M EV — is where roll-up platforms get built. Accounting-sector roll-ups specifically are still nascent in Italy: BDO and Mazars attempted a 2015 merger that ended in litigation (Milan tribunal ruled in favor of Mazars), illustrating that even sophisticated international networks struggle here. The opportunity for a disciplined operator: this is exactly the kind of market where being early matters.</w:t>
      </w:r>
    </w:p>
    <w:p>
      <w:pPr>
        <w:pStyle w:val="Heading3"/>
        <w:spacing w:after="120" w:before="220"/>
      </w:pPr>
      <w:r>
        <w:rPr>
          <w:rFonts w:ascii="Calibri" w:cs="Calibri" w:eastAsia="Calibri" w:hAnsi="Calibri"/>
          <w:b/>
          <w:bCs/>
          <w:color w:val="2E5395"/>
          <w:sz w:val="23"/>
          <w:szCs w:val="23"/>
        </w:rPr>
        <w:t xml:space="preserve">Multiples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shd w:fill="1F3864" w:color="1F3864" w:val="solid"/>
          </w:tcPr>
          <w:p>
            <w:pPr>
              <w:spacing w:after="60" w:before="60"/>
              <w:jc w:val="left"/>
            </w:pPr>
            <w:r>
              <w:rPr>
                <w:rFonts w:ascii="Calibri" w:cs="Calibri" w:eastAsia="Calibri" w:hAnsi="Calibri"/>
                <w:b/>
                <w:bCs/>
                <w:color w:val="FFFFFF"/>
                <w:sz w:val="20"/>
                <w:szCs w:val="20"/>
              </w:rPr>
              <w:t xml:space="preserve">Target size</w:t>
            </w:r>
          </w:p>
        </w:tc>
        <w:tc>
          <w:tcPr>
            <w:tcW w:type="dxa" w:w="1500"/>
            <w:shd w:fill="1F3864" w:color="1F3864" w:val="solid"/>
          </w:tcPr>
          <w:p>
            <w:pPr>
              <w:spacing w:after="60" w:before="60"/>
              <w:jc w:val="left"/>
            </w:pPr>
            <w:r>
              <w:rPr>
                <w:rFonts w:ascii="Calibri" w:cs="Calibri" w:eastAsia="Calibri" w:hAnsi="Calibri"/>
                <w:b/>
                <w:bCs/>
                <w:color w:val="FFFFFF"/>
                <w:sz w:val="20"/>
                <w:szCs w:val="20"/>
              </w:rPr>
              <w:t xml:space="preserve">EBITDA range</w:t>
            </w:r>
          </w:p>
        </w:tc>
        <w:tc>
          <w:tcPr>
            <w:tcW w:type="dxa" w:w="1300"/>
            <w:shd w:fill="1F3864" w:color="1F3864" w:val="solid"/>
          </w:tcPr>
          <w:p>
            <w:pPr>
              <w:spacing w:after="60" w:before="60"/>
              <w:jc w:val="left"/>
            </w:pPr>
            <w:r>
              <w:rPr>
                <w:rFonts w:ascii="Calibri" w:cs="Calibri" w:eastAsia="Calibri" w:hAnsi="Calibri"/>
                <w:b/>
                <w:bCs/>
                <w:color w:val="FFFFFF"/>
                <w:sz w:val="20"/>
                <w:szCs w:val="20"/>
              </w:rPr>
              <w:t xml:space="preserve">Multiple</w:t>
            </w:r>
          </w:p>
        </w:tc>
        <w:tc>
          <w:tcPr>
            <w:tcW w:type="dxa" w:w="3500"/>
            <w:shd w:fill="1F3864" w:color="1F3864" w:val="solid"/>
          </w:tcPr>
          <w:p>
            <w:pPr>
              <w:spacing w:after="60" w:before="60"/>
              <w:jc w:val="left"/>
            </w:pPr>
            <w:r>
              <w:rPr>
                <w:rFonts w:ascii="Calibri" w:cs="Calibri" w:eastAsia="Calibri" w:hAnsi="Calibri"/>
                <w:b/>
                <w:bCs/>
                <w:color w:val="FFFFFF"/>
                <w:sz w:val="20"/>
                <w:szCs w:val="20"/>
              </w:rPr>
              <w:t xml:space="preserve">Comment</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Micro studio</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&lt;€150K</w:t>
            </w:r>
          </w:p>
        </w:tc>
        <w:tc>
          <w:tcPr>
            <w:tcW w:type="dxa" w:w="1300"/>
            <w:shd w:fill="FFFFFF" w:color="FFFFFF" w:val="solid"/>
          </w:tcPr>
          <w:p>
            <w:pPr>
              <w:spacing w:after="60" w:before="60"/>
              <w:jc w:val="left"/>
            </w:pPr>
            <w:r>
              <w:rPr>
                <w:rFonts w:ascii="Calibri" w:cs="Calibri" w:eastAsia="Calibri" w:hAnsi="Calibri"/>
                <w:b w:val="false"/>
                <w:bCs w:val="false"/>
                <w:sz w:val="20"/>
                <w:szCs w:val="20"/>
              </w:rPr>
              <w:t xml:space="preserve">3–4x</w:t>
            </w:r>
          </w:p>
        </w:tc>
        <w:tc>
          <w:tcPr>
            <w:tcW w:type="dxa" w:w="3500"/>
            <w:shd w:fill="F2F2F2" w:color="F2F2F2" w:val="solid"/>
          </w:tcPr>
          <w:p>
            <w:pPr>
              <w:spacing w:after="60" w:before="60"/>
              <w:jc w:val="left"/>
            </w:pPr>
            <w:r>
              <w:rPr>
                <w:rFonts w:ascii="Calibri" w:cs="Calibri" w:eastAsia="Calibri" w:hAnsi="Calibri"/>
                <w:b w:val="false"/>
                <w:bCs w:val="false"/>
                <w:sz w:val="20"/>
                <w:szCs w:val="20"/>
              </w:rPr>
              <w:t xml:space="preserve">SDE-based, mostly cash + 20% earnout</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Small studio</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€150–500K</w:t>
            </w:r>
          </w:p>
        </w:tc>
        <w:tc>
          <w:tcPr>
            <w:tcW w:type="dxa" w:w="1300"/>
            <w:shd w:fill="FFFFFF" w:color="FFFFFF" w:val="solid"/>
          </w:tcPr>
          <w:p>
            <w:pPr>
              <w:spacing w:after="60" w:before="60"/>
              <w:jc w:val="left"/>
            </w:pPr>
            <w:r>
              <w:rPr>
                <w:rFonts w:ascii="Calibri" w:cs="Calibri" w:eastAsia="Calibri" w:hAnsi="Calibri"/>
                <w:b w:val="false"/>
                <w:bCs w:val="false"/>
                <w:sz w:val="20"/>
                <w:szCs w:val="20"/>
              </w:rPr>
              <w:t xml:space="preserve">4–5.5x</w:t>
            </w:r>
          </w:p>
        </w:tc>
        <w:tc>
          <w:tcPr>
            <w:tcW w:type="dxa" w:w="3500"/>
            <w:shd w:fill="F2F2F2" w:color="F2F2F2" w:val="solid"/>
          </w:tcPr>
          <w:p>
            <w:pPr>
              <w:spacing w:after="60" w:before="60"/>
              <w:jc w:val="left"/>
            </w:pPr>
            <w:r>
              <w:rPr>
                <w:rFonts w:ascii="Calibri" w:cs="Calibri" w:eastAsia="Calibri" w:hAnsi="Calibri"/>
                <w:b w:val="false"/>
                <w:bCs w:val="false"/>
                <w:sz w:val="20"/>
                <w:szCs w:val="20"/>
              </w:rPr>
              <w:t xml:space="preserve">Standard rollover structure</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Mid studio</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€500K–1.5M</w:t>
            </w:r>
          </w:p>
        </w:tc>
        <w:tc>
          <w:tcPr>
            <w:tcW w:type="dxa" w:w="1300"/>
            <w:shd w:fill="FFFFFF" w:color="FFFFFF" w:val="solid"/>
          </w:tcPr>
          <w:p>
            <w:pPr>
              <w:spacing w:after="60" w:before="60"/>
              <w:jc w:val="left"/>
            </w:pPr>
            <w:r>
              <w:rPr>
                <w:rFonts w:ascii="Calibri" w:cs="Calibri" w:eastAsia="Calibri" w:hAnsi="Calibri"/>
                <w:b w:val="false"/>
                <w:bCs w:val="false"/>
                <w:sz w:val="20"/>
                <w:szCs w:val="20"/>
              </w:rPr>
              <w:t xml:space="preserve">5.5–7x</w:t>
            </w:r>
          </w:p>
        </w:tc>
        <w:tc>
          <w:tcPr>
            <w:tcW w:type="dxa" w:w="3500"/>
            <w:shd w:fill="F2F2F2" w:color="F2F2F2" w:val="solid"/>
          </w:tcPr>
          <w:p>
            <w:pPr>
              <w:spacing w:after="60" w:before="60"/>
              <w:jc w:val="left"/>
            </w:pPr>
            <w:r>
              <w:rPr>
                <w:rFonts w:ascii="Calibri" w:cs="Calibri" w:eastAsia="Calibri" w:hAnsi="Calibri"/>
                <w:b w:val="false"/>
                <w:bCs w:val="false"/>
                <w:sz w:val="20"/>
                <w:szCs w:val="20"/>
              </w:rPr>
              <w:t xml:space="preserve">Platform-eligible if niche stacking</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Regional platform</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€1.5–5M</w:t>
            </w:r>
          </w:p>
        </w:tc>
        <w:tc>
          <w:tcPr>
            <w:tcW w:type="dxa" w:w="1300"/>
            <w:shd w:fill="FFFFFF" w:color="FFFFFF" w:val="solid"/>
          </w:tcPr>
          <w:p>
            <w:pPr>
              <w:spacing w:after="60" w:before="60"/>
              <w:jc w:val="left"/>
            </w:pPr>
            <w:r>
              <w:rPr>
                <w:rFonts w:ascii="Calibri" w:cs="Calibri" w:eastAsia="Calibri" w:hAnsi="Calibri"/>
                <w:b w:val="false"/>
                <w:bCs w:val="false"/>
                <w:sz w:val="20"/>
                <w:szCs w:val="20"/>
              </w:rPr>
              <w:t xml:space="preserve">7–9x</w:t>
            </w:r>
          </w:p>
        </w:tc>
        <w:tc>
          <w:tcPr>
            <w:tcW w:type="dxa" w:w="3500"/>
            <w:shd w:fill="F2F2F2" w:color="F2F2F2" w:val="solid"/>
          </w:tcPr>
          <w:p>
            <w:pPr>
              <w:spacing w:after="60" w:before="60"/>
              <w:jc w:val="left"/>
            </w:pPr>
            <w:r>
              <w:rPr>
                <w:rFonts w:ascii="Calibri" w:cs="Calibri" w:eastAsia="Calibri" w:hAnsi="Calibri"/>
                <w:b w:val="false"/>
                <w:bCs w:val="false"/>
                <w:sz w:val="20"/>
                <w:szCs w:val="20"/>
              </w:rPr>
              <w:t xml:space="preserve">Italy-wide rollup potential</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National platform</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&gt;€5M</w:t>
            </w:r>
          </w:p>
        </w:tc>
        <w:tc>
          <w:tcPr>
            <w:tcW w:type="dxa" w:w="1300"/>
            <w:shd w:fill="FFFFFF" w:color="FFFFFF" w:val="solid"/>
          </w:tcPr>
          <w:p>
            <w:pPr>
              <w:spacing w:after="60" w:before="60"/>
              <w:jc w:val="left"/>
            </w:pPr>
            <w:r>
              <w:rPr>
                <w:rFonts w:ascii="Calibri" w:cs="Calibri" w:eastAsia="Calibri" w:hAnsi="Calibri"/>
                <w:b w:val="false"/>
                <w:bCs w:val="false"/>
                <w:sz w:val="20"/>
                <w:szCs w:val="20"/>
              </w:rPr>
              <w:t xml:space="preserve">9–12x</w:t>
            </w:r>
          </w:p>
        </w:tc>
        <w:tc>
          <w:tcPr>
            <w:tcW w:type="dxa" w:w="3500"/>
            <w:shd w:fill="F2F2F2" w:color="F2F2F2" w:val="solid"/>
          </w:tcPr>
          <w:p>
            <w:pPr>
              <w:spacing w:after="60" w:before="60"/>
              <w:jc w:val="left"/>
            </w:pPr>
            <w:r>
              <w:rPr>
                <w:rFonts w:ascii="Calibri" w:cs="Calibri" w:eastAsia="Calibri" w:hAnsi="Calibri"/>
                <w:b w:val="false"/>
                <w:bCs w:val="false"/>
                <w:sz w:val="20"/>
                <w:szCs w:val="20"/>
              </w:rPr>
              <w:t xml:space="preserve">Exit candidate to international PE</w:t>
            </w:r>
          </w:p>
        </w:tc>
      </w:tr>
    </w:tbl>
    <w:p>
      <w:pPr>
        <w:spacing w:after="120" w:line="300"/>
        <w:jc w:val="both"/>
      </w:pPr>
      <w:r>
        <w:rPr>
          <w:rFonts w:ascii="Calibri" w:cs="Calibri" w:eastAsia="Calibri" w:hAnsi="Calibri"/>
          <w:b w:val="false"/>
          <w:bCs w:val="false"/>
          <w:i w:val="false"/>
          <w:iCs w:val="false"/>
          <w:sz w:val="22"/>
          <w:szCs w:val="22"/>
        </w:rPr>
        <w:t xml:space="preserve"> </w:t>
      </w:r>
    </w:p>
    <w:p>
      <w:pPr>
        <w:pStyle w:val="Heading3"/>
        <w:spacing w:after="120" w:before="220"/>
      </w:pPr>
      <w:r>
        <w:rPr>
          <w:rFonts w:ascii="Calibri" w:cs="Calibri" w:eastAsia="Calibri" w:hAnsi="Calibri"/>
          <w:b/>
          <w:bCs/>
          <w:color w:val="2E5395"/>
          <w:sz w:val="23"/>
          <w:szCs w:val="23"/>
        </w:rPr>
        <w:t xml:space="preserve">Regional concentration recommendation</w:t>
      </w:r>
    </w:p>
    <w:p>
      <w:pPr>
        <w:spacing w:after="120" w:line="300"/>
        <w:jc w:val="both"/>
      </w:pPr>
      <w:r>
        <w:rPr>
          <w:rFonts w:ascii="Calibri" w:cs="Calibri" w:eastAsia="Calibri" w:hAnsi="Calibri"/>
          <w:b w:val="false"/>
          <w:bCs w:val="false"/>
          <w:i w:val="false"/>
          <w:iCs w:val="false"/>
          <w:sz w:val="22"/>
          <w:szCs w:val="22"/>
        </w:rPr>
        <w:t xml:space="preserve">Build the platform in one of three regional clusters: (a) Lombardy + Veneto (Milan-Brescia-Verona-Padua corridor — highest enterprise density, best AI absorption); (b) Lazio (Rome — captive of public-sector-adjacent SMBs, mid-market enterprises); (c) Emilia-Romagna (Bologna-Modena-Parma — manufacturing and food/wine SMBs, internationally-oriented clients). Avoid the South for the first 24 months — payment culture, regulatory complexity, and cash-economy clients raise integration risk.</w:t>
      </w:r>
    </w:p>
    <w:p>
      <w:pPr>
        <w:pStyle w:val="Heading2"/>
        <w:spacing w:after="160" w:before="280"/>
      </w:pPr>
      <w:r>
        <w:rPr>
          <w:rFonts w:ascii="Calibri" w:cs="Calibri" w:eastAsia="Calibri" w:hAnsi="Calibri"/>
          <w:b/>
          <w:bCs/>
          <w:color w:val="2E5395"/>
          <w:sz w:val="26"/>
          <w:szCs w:val="26"/>
        </w:rPr>
        <w:t xml:space="preserve">3. Spain — second-tier platform candidate</w:t>
      </w:r>
    </w:p>
    <w:p>
      <w:pPr>
        <w:spacing w:after="120" w:line="300"/>
        <w:jc w:val="both"/>
      </w:pPr>
      <w:r>
        <w:rPr>
          <w:rFonts w:ascii="Calibri" w:cs="Calibri" w:eastAsia="Calibri" w:hAnsi="Calibri"/>
          <w:b w:val="false"/>
          <w:bCs w:val="false"/>
          <w:i w:val="false"/>
          <w:iCs w:val="false"/>
          <w:sz w:val="22"/>
          <w:szCs w:val="22"/>
        </w:rPr>
        <w:t xml:space="preserve">Spain's accounting market splits into three legal categories: asesorías fiscales (tax advisors, very fragmented), gestorías (administrative service providers, often combine with accounting), and despachos de auditoría (audit-only, governed by the Spanish equivalent of the Statutory Audit Directive). Together: an estimated 25,000–35,000 active firms with paid staff, of which 3,000–5,000 are real multi-client practices.</w:t>
      </w:r>
    </w:p>
    <w:p>
      <w:pPr>
        <w:spacing w:after="120" w:line="300"/>
        <w:jc w:val="both"/>
      </w:pPr>
      <w:r>
        <w:rPr>
          <w:rFonts w:ascii="Calibri" w:cs="Calibri" w:eastAsia="Calibri" w:hAnsi="Calibri"/>
          <w:b w:val="false"/>
          <w:bCs w:val="false"/>
          <w:i w:val="false"/>
          <w:iCs w:val="false"/>
          <w:sz w:val="22"/>
          <w:szCs w:val="22"/>
        </w:rPr>
        <w:t xml:space="preserve">The Spanish M&amp;A market hit €100.5B in 2024 (Chambers PE 2025), the second-highest on record, and lower-mid-market deals are active. Accounting-specific PE roll-up activity is less visible than in Italy — partly because the asesoría/gestoría regulatory environment is more fragmented across Comunidades Autónomas (Madrid, Catalonia, Valencia, and Andalusia each have somewhat different professional-college rules). Best entry: Madrid + Catalonia twin-hub, build a bilingual digital-first platform serving SMBs and EU-subsidiary back-office work.</w:t>
      </w:r>
    </w:p>
    <w:p>
      <w:pPr>
        <w:spacing w:after="120" w:line="300"/>
        <w:jc w:val="both"/>
      </w:pPr>
      <w:r>
        <w:rPr>
          <w:rFonts w:ascii="Calibri" w:cs="Calibri" w:eastAsia="Calibri" w:hAnsi="Calibri"/>
          <w:b w:val="false"/>
          <w:bCs w:val="false"/>
          <w:i w:val="false"/>
          <w:iCs w:val="false"/>
          <w:sz w:val="22"/>
          <w:szCs w:val="22"/>
        </w:rPr>
        <w:t xml:space="preserve">Multiples: similar bands to Italy but ~0.5–1x lower at the small end, ~0.5x lower at the platform end. Spanish PE deals use locked-box + completion-accounts mechanisms typically (Chambers PE 2025 Spain).</w:t>
      </w:r>
    </w:p>
    <w:p>
      <w:pPr>
        <w:pStyle w:val="Heading2"/>
        <w:spacing w:after="160" w:before="280"/>
      </w:pPr>
      <w:r>
        <w:rPr>
          <w:rFonts w:ascii="Calibri" w:cs="Calibri" w:eastAsia="Calibri" w:hAnsi="Calibri"/>
          <w:b/>
          <w:bCs/>
          <w:color w:val="2E5395"/>
          <w:sz w:val="26"/>
          <w:szCs w:val="26"/>
        </w:rPr>
        <w:t xml:space="preserve">4. Portugal</w:t>
      </w:r>
    </w:p>
    <w:p>
      <w:pPr>
        <w:spacing w:after="120" w:line="300"/>
        <w:jc w:val="both"/>
      </w:pPr>
      <w:r>
        <w:rPr>
          <w:rFonts w:ascii="Calibri" w:cs="Calibri" w:eastAsia="Calibri" w:hAnsi="Calibri"/>
          <w:b w:val="false"/>
          <w:bCs w:val="false"/>
          <w:i w:val="false"/>
          <w:iCs w:val="false"/>
          <w:sz w:val="22"/>
          <w:szCs w:val="22"/>
        </w:rPr>
        <w:t xml:space="preserve">Portugal has 12,847 accounting companies per industry data, with 27% in Lisbon and 19% in Porto — concentration is high. The OCC (Ordem dos Contabilistas Certificados) governs Contabilistas Certificados and requires a certified accountant to sign tax filings for any taxable person. This is more restrictive than Italy's STP regime but still allows corporate-vehicle ownership.</w:t>
      </w:r>
    </w:p>
    <w:p>
      <w:pPr>
        <w:spacing w:after="120" w:line="300"/>
        <w:jc w:val="both"/>
      </w:pPr>
      <w:r>
        <w:rPr>
          <w:rFonts w:ascii="Calibri" w:cs="Calibri" w:eastAsia="Calibri" w:hAnsi="Calibri"/>
          <w:b w:val="false"/>
          <w:bCs w:val="false"/>
          <w:i w:val="false"/>
          <w:iCs w:val="false"/>
          <w:sz w:val="22"/>
          <w:szCs w:val="22"/>
        </w:rPr>
        <w:t xml:space="preserve">Portugal's appeal: small but coherent market, English fluency, strong digital infrastructure (e-Factura since 2013), low cost base relative to Spain. The play: a Lisbon-Porto twin-city consolidator serving SMBs and Brazil-Portugal cross-border subsidiaries. Multiples: 3.5–5.5x EBITDA below €500K, 5.5–7x above. Portugal makes most sense as a bolt-on to a Spanish platform rather than as a standalone platform.</w:t>
      </w:r>
    </w:p>
    <w:p>
      <w:pPr>
        <w:pStyle w:val="Heading2"/>
        <w:spacing w:after="160" w:before="280"/>
      </w:pPr>
      <w:r>
        <w:rPr>
          <w:rFonts w:ascii="Calibri" w:cs="Calibri" w:eastAsia="Calibri" w:hAnsi="Calibri"/>
          <w:b/>
          <w:bCs/>
          <w:color w:val="2E5395"/>
          <w:sz w:val="26"/>
          <w:szCs w:val="26"/>
        </w:rPr>
        <w:t xml:space="preserve">5. Greece</w:t>
      </w:r>
    </w:p>
    <w:p>
      <w:pPr>
        <w:spacing w:after="120" w:line="300"/>
        <w:jc w:val="both"/>
      </w:pPr>
      <w:r>
        <w:rPr>
          <w:rFonts w:ascii="Calibri" w:cs="Calibri" w:eastAsia="Calibri" w:hAnsi="Calibri"/>
          <w:b w:val="false"/>
          <w:bCs w:val="false"/>
          <w:i w:val="false"/>
          <w:iCs w:val="false"/>
          <w:sz w:val="22"/>
          <w:szCs w:val="22"/>
        </w:rPr>
        <w:t xml:space="preserve">Greek M&amp;A market hit record-high values in 2024 (&gt;€20B in M&amp;A activity per Chambers PE 2025 Greece). The Greek accounting market is heavily regulated (Λογιστής-Φοροτεχνικός certification levels A–D), highly fragmented, and concentrated in Athens and Thessaloniki. Greek PE has 47 funds with combined portfolios of 195 companies (PE List).</w:t>
      </w:r>
    </w:p>
    <w:p>
      <w:pPr>
        <w:spacing w:after="120" w:line="300"/>
        <w:jc w:val="both"/>
      </w:pPr>
      <w:r>
        <w:rPr>
          <w:rFonts w:ascii="Calibri" w:cs="Calibri" w:eastAsia="Calibri" w:hAnsi="Calibri"/>
          <w:b w:val="false"/>
          <w:bCs w:val="false"/>
          <w:i w:val="false"/>
          <w:iCs w:val="false"/>
          <w:sz w:val="22"/>
          <w:szCs w:val="22"/>
        </w:rPr>
        <w:t xml:space="preserve">The Greek accounting opportunity is real but execution risk is higher than Italy/Spain/Portugal: language barrier, complex VAT/tax-procedure code (KFAS), and the certification-level system constrains who can sign filings. Best treated as a follow-on bolt-on for a regional Southern Europe platform after Italian/Iberian build-out, not a starting geography.</w:t>
      </w:r>
    </w:p>
    <w:p>
      <w:pPr>
        <w:pStyle w:val="Heading2"/>
        <w:spacing w:after="160" w:before="280"/>
      </w:pPr>
      <w:r>
        <w:rPr>
          <w:rFonts w:ascii="Calibri" w:cs="Calibri" w:eastAsia="Calibri" w:hAnsi="Calibri"/>
          <w:b/>
          <w:bCs/>
          <w:color w:val="2E5395"/>
          <w:sz w:val="26"/>
          <w:szCs w:val="26"/>
        </w:rPr>
        <w:t xml:space="preserve">6. SEE — comparative scorecard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1F3864" w:color="1F3864" w:val="solid"/>
          </w:tcPr>
          <w:p>
            <w:pPr>
              <w:spacing w:after="60" w:before="60"/>
              <w:jc w:val="left"/>
            </w:pPr>
            <w:r>
              <w:rPr>
                <w:rFonts w:ascii="Calibri" w:cs="Calibri" w:eastAsia="Calibri" w:hAnsi="Calibri"/>
                <w:b/>
                <w:bCs/>
                <w:color w:val="FFFFFF"/>
                <w:sz w:val="20"/>
                <w:szCs w:val="20"/>
              </w:rPr>
              <w:t xml:space="preserve">Country</w:t>
            </w:r>
          </w:p>
        </w:tc>
        <w:tc>
          <w:tcPr>
            <w:tcW w:type="dxa" w:w="1100"/>
            <w:shd w:fill="1F3864" w:color="1F3864" w:val="solid"/>
          </w:tcPr>
          <w:p>
            <w:pPr>
              <w:spacing w:after="60" w:before="60"/>
              <w:jc w:val="left"/>
            </w:pPr>
            <w:r>
              <w:rPr>
                <w:rFonts w:ascii="Calibri" w:cs="Calibri" w:eastAsia="Calibri" w:hAnsi="Calibri"/>
                <w:b/>
                <w:bCs/>
                <w:color w:val="FFFFFF"/>
                <w:sz w:val="20"/>
                <w:szCs w:val="20"/>
              </w:rPr>
              <w:t xml:space="preserve">Fragmentation</w:t>
            </w:r>
          </w:p>
        </w:tc>
        <w:tc>
          <w:tcPr>
            <w:tcW w:type="dxa" w:w="1700"/>
            <w:shd w:fill="1F3864" w:color="1F3864" w:val="solid"/>
          </w:tcPr>
          <w:p>
            <w:pPr>
              <w:spacing w:after="60" w:before="60"/>
              <w:jc w:val="left"/>
            </w:pPr>
            <w:r>
              <w:rPr>
                <w:rFonts w:ascii="Calibri" w:cs="Calibri" w:eastAsia="Calibri" w:hAnsi="Calibri"/>
                <w:b/>
                <w:bCs/>
                <w:color w:val="FFFFFF"/>
                <w:sz w:val="20"/>
                <w:szCs w:val="20"/>
              </w:rPr>
              <w:t xml:space="preserve">PE-friendly structure</w:t>
            </w:r>
          </w:p>
        </w:tc>
        <w:tc>
          <w:tcPr>
            <w:tcW w:type="dxa" w:w="1400"/>
            <w:shd w:fill="1F3864" w:color="1F3864" w:val="solid"/>
          </w:tcPr>
          <w:p>
            <w:pPr>
              <w:spacing w:after="60" w:before="60"/>
              <w:jc w:val="left"/>
            </w:pPr>
            <w:r>
              <w:rPr>
                <w:rFonts w:ascii="Calibri" w:cs="Calibri" w:eastAsia="Calibri" w:hAnsi="Calibri"/>
                <w:b/>
                <w:bCs/>
                <w:color w:val="FFFFFF"/>
                <w:sz w:val="20"/>
                <w:szCs w:val="20"/>
              </w:rPr>
              <w:t xml:space="preserve">AI margin lift</w:t>
            </w:r>
          </w:p>
        </w:tc>
        <w:tc>
          <w:tcPr>
            <w:tcW w:type="dxa" w:w="1100"/>
            <w:shd w:fill="1F3864" w:color="1F3864" w:val="solid"/>
          </w:tcPr>
          <w:p>
            <w:pPr>
              <w:spacing w:after="60" w:before="60"/>
              <w:jc w:val="left"/>
            </w:pPr>
            <w:r>
              <w:rPr>
                <w:rFonts w:ascii="Calibri" w:cs="Calibri" w:eastAsia="Calibri" w:hAnsi="Calibri"/>
                <w:b/>
                <w:bCs/>
                <w:color w:val="FFFFFF"/>
                <w:sz w:val="20"/>
                <w:szCs w:val="20"/>
              </w:rPr>
              <w:t xml:space="preserve">Multiple band</w:t>
            </w:r>
          </w:p>
        </w:tc>
        <w:tc>
          <w:tcPr>
            <w:tcW w:type="dxa" w:w="1400"/>
            <w:shd w:fill="1F3864" w:color="1F3864" w:val="solid"/>
          </w:tcPr>
          <w:p>
            <w:pPr>
              <w:spacing w:after="60" w:before="60"/>
              <w:jc w:val="left"/>
            </w:pPr>
            <w:r>
              <w:rPr>
                <w:rFonts w:ascii="Calibri" w:cs="Calibri" w:eastAsia="Calibri" w:hAnsi="Calibri"/>
                <w:b/>
                <w:bCs/>
                <w:color w:val="FFFFFF"/>
                <w:sz w:val="20"/>
                <w:szCs w:val="20"/>
              </w:rPr>
              <w:t xml:space="preserve">Verdict</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Italy</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Very high</w:t>
            </w:r>
          </w:p>
        </w:tc>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STP (cleanest)</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High (25–40%)</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4–9x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Tier 1 — platform</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Spain</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High</w:t>
            </w:r>
          </w:p>
        </w:tc>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Asesoría / gestoría</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High (25–35%)</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3.5–8x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Tier 2 — platform</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Portugal</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High</w:t>
            </w:r>
          </w:p>
        </w:tc>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OCC + corporate</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Med-high (20–30%)</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3.5–7x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Bolt-on to ES</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Greece</w:t>
            </w:r>
          </w:p>
        </w:tc>
        <w:tc>
          <w:tcPr>
            <w:tcW w:type="dxa" w:w="1100"/>
            <w:shd w:fill="F2F2F2" w:color="F2F2F2" w:val="solid"/>
          </w:tcPr>
          <w:p>
            <w:pPr>
              <w:spacing w:after="60" w:before="60"/>
              <w:jc w:val="left"/>
            </w:pPr>
            <w:r>
              <w:rPr>
                <w:rFonts w:ascii="Calibri" w:cs="Calibri" w:eastAsia="Calibri" w:hAnsi="Calibri"/>
                <w:b w:val="false"/>
                <w:bCs w:val="false"/>
                <w:sz w:val="20"/>
                <w:szCs w:val="20"/>
              </w:rPr>
              <w:t xml:space="preserve">High</w:t>
            </w:r>
          </w:p>
        </w:tc>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Cert-level system</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Med (20–30%)</w:t>
            </w:r>
          </w:p>
        </w:tc>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3–6x</w:t>
            </w:r>
          </w:p>
        </w:tc>
        <w:tc>
          <w:tcPr>
            <w:tcW w:type="dxa" w:w="1400"/>
            <w:shd w:fill="F2F2F2" w:color="F2F2F2" w:val="solid"/>
          </w:tcPr>
          <w:p>
            <w:pPr>
              <w:spacing w:after="60" w:before="60"/>
              <w:jc w:val="left"/>
            </w:pPr>
            <w:r>
              <w:rPr>
                <w:rFonts w:ascii="Calibri" w:cs="Calibri" w:eastAsia="Calibri" w:hAnsi="Calibri"/>
                <w:b w:val="false"/>
                <w:bCs w:val="false"/>
                <w:sz w:val="20"/>
                <w:szCs w:val="20"/>
              </w:rPr>
              <w:t xml:space="preserve">Follow-on bolt-on</w:t>
            </w:r>
          </w:p>
        </w:tc>
      </w:tr>
    </w:tbl>
    <w:p>
      <w:pPr>
        <w:spacing w:after="120" w:line="300"/>
        <w:jc w:val="both"/>
      </w:pPr>
      <w:r>
        <w:rPr>
          <w:rFonts w:ascii="Calibri" w:cs="Calibri" w:eastAsia="Calibri" w:hAnsi="Calibri"/>
          <w:b w:val="false"/>
          <w:bCs w:val="false"/>
          <w:i w:val="false"/>
          <w:iCs w:val="false"/>
          <w:sz w:val="22"/>
          <w:szCs w:val="22"/>
        </w:rPr>
        <w:t xml:space="preserve"> </w:t>
      </w:r>
    </w:p>
    <w:p>
      <w:pPr>
        <w:pStyle w:val="Heading1"/>
        <w:spacing w:after="200" w:before="360"/>
      </w:pPr>
      <w:r>
        <w:rPr>
          <w:rFonts w:ascii="Calibri" w:cs="Calibri" w:eastAsia="Calibri" w:hAnsi="Calibri"/>
          <w:b/>
          <w:bCs/>
          <w:color w:val="1F3864"/>
          <w:sz w:val="32"/>
          <w:szCs w:val="32"/>
        </w:rPr>
        <w:t xml:space="preserve">Part III — Consolidation strategy</w:t>
      </w:r>
    </w:p>
    <w:p>
      <w:pPr>
        <w:pStyle w:val="Heading2"/>
        <w:spacing w:after="160" w:before="280"/>
      </w:pPr>
      <w:r>
        <w:rPr>
          <w:rFonts w:ascii="Calibri" w:cs="Calibri" w:eastAsia="Calibri" w:hAnsi="Calibri"/>
          <w:b/>
          <w:bCs/>
          <w:color w:val="2E5395"/>
          <w:sz w:val="26"/>
          <w:szCs w:val="26"/>
        </w:rPr>
        <w:t xml:space="preserve">1. Two viable archetypes — pick one</w:t>
      </w:r>
    </w:p>
    <w:p>
      <w:pPr>
        <w:spacing w:after="120" w:line="300"/>
        <w:jc w:val="both"/>
      </w:pPr>
      <w:r>
        <w:rPr>
          <w:rFonts w:ascii="Calibri" w:cs="Calibri" w:eastAsia="Calibri" w:hAnsi="Calibri"/>
          <w:b w:val="false"/>
          <w:bCs w:val="false"/>
          <w:i w:val="false"/>
          <w:iCs w:val="false"/>
          <w:sz w:val="22"/>
          <w:szCs w:val="22"/>
        </w:rPr>
        <w:t xml:space="preserve">Archetype A — Italian SMB Platform (primary recommendation): Build a single-country regional platform in Italy, anchored in Lombardy + Veneto, focused on SMB and scale-up clients with a niche stack (e.g., e-commerce, food &amp; beverage, light manufacturing). Equity ticket €30–40M. Build 5–8 acquisitions in 24 months. Exit in 5–7 years to international PE or strategic at €120–250M EV depending on EBITDA growth. This is the recommendation already made in the main memo.</w:t>
      </w:r>
    </w:p>
    <w:p>
      <w:pPr>
        <w:spacing w:after="120" w:line="300"/>
        <w:jc w:val="both"/>
      </w:pPr>
      <w:r>
        <w:rPr>
          <w:rFonts w:ascii="Calibri" w:cs="Calibri" w:eastAsia="Calibri" w:hAnsi="Calibri"/>
          <w:b w:val="false"/>
          <w:bCs w:val="false"/>
          <w:i w:val="false"/>
          <w:iCs w:val="false"/>
          <w:sz w:val="22"/>
          <w:szCs w:val="22"/>
        </w:rPr>
        <w:t xml:space="preserve">Archetype B — CEE Compliance + Nearshore Hub: Build a Poland-Romania twin-hub platform that combines domestic SMB consolidation with a nearshore F&amp;A captive engine selling into Western Europe. Captures both the KSeF/e-Factura regulatory windows and the labor-arbitrage thesis. Equity ticket €20–30M. Faster cash-on-cash returns (lower multiples, higher organic growth from compliance migration), but harder exit story (mixed-multiple business). Recommended only if operator has prior CEE operating experience or a strong local partner.</w:t>
      </w:r>
    </w:p>
    <w:p>
      <w:pPr>
        <w:spacing w:after="120" w:line="300"/>
        <w:jc w:val="both"/>
      </w:pPr>
      <w:r>
        <w:rPr>
          <w:rFonts w:ascii="Calibri" w:cs="Calibri" w:eastAsia="Calibri" w:hAnsi="Calibri"/>
          <w:b w:val="false"/>
          <w:bCs w:val="false"/>
          <w:i w:val="false"/>
          <w:iCs w:val="false"/>
          <w:sz w:val="22"/>
          <w:szCs w:val="22"/>
        </w:rPr>
        <w:t xml:space="preserve">Anti-recommendation — Pan-European Platform: Avoid trying to build across CEE and SEE simultaneously in the first 36 months. Cultural, regulatory, and integration complexity multiplies; the 'European accounting platform' story is what a Year-5 buyer pays for, not what a Year-1 operator should attempt.</w:t>
      </w:r>
    </w:p>
    <w:p>
      <w:pPr>
        <w:pStyle w:val="Heading2"/>
        <w:spacing w:after="160" w:before="280"/>
      </w:pPr>
      <w:r>
        <w:rPr>
          <w:rFonts w:ascii="Calibri" w:cs="Calibri" w:eastAsia="Calibri" w:hAnsi="Calibri"/>
          <w:b/>
          <w:bCs/>
          <w:color w:val="2E5395"/>
          <w:sz w:val="26"/>
          <w:szCs w:val="26"/>
        </w:rPr>
        <w:t xml:space="preserve">2. Sequencing — the 24-month build plan</w:t>
      </w:r>
    </w:p>
    <w:p>
      <w:pPr>
        <w:pStyle w:val="Heading3"/>
        <w:spacing w:after="120" w:before="220"/>
      </w:pPr>
      <w:r>
        <w:rPr>
          <w:rFonts w:ascii="Calibri" w:cs="Calibri" w:eastAsia="Calibri" w:hAnsi="Calibri"/>
          <w:b/>
          <w:bCs/>
          <w:color w:val="2E5395"/>
          <w:sz w:val="23"/>
          <w:szCs w:val="23"/>
        </w:rPr>
        <w:t xml:space="preserve">Month 0–3: Foundation</w:t>
      </w:r>
    </w:p>
    <w:p>
      <w:pPr>
        <w:spacing w:after="120" w:line="300"/>
        <w:jc w:val="both"/>
      </w:pPr>
      <w:r>
        <w:rPr>
          <w:rFonts w:ascii="Calibri" w:cs="Calibri" w:eastAsia="Calibri" w:hAnsi="Calibri"/>
          <w:b w:val="false"/>
          <w:bCs w:val="false"/>
          <w:i w:val="false"/>
          <w:iCs w:val="false"/>
          <w:sz w:val="22"/>
          <w:szCs w:val="22"/>
        </w:rPr>
        <w:t xml:space="preserve">Set up HoldCo structure: holding entity in the operator's preferred jurisdiction (Lux, NL, or IT depending on tax planning); local OpCo in the platform country; if Italy, set up an SRL-STP for the rolled-up entity and a separate audit vehicle if any target does statutory audit. Hire CFO and Head of M&amp;A. Build target database (CRM + industry-association lists). Engage 2 local sell-side advisors per region for pipeline.</w:t>
      </w:r>
    </w:p>
    <w:p>
      <w:pPr>
        <w:pStyle w:val="Heading3"/>
        <w:spacing w:after="120" w:before="220"/>
      </w:pPr>
      <w:r>
        <w:rPr>
          <w:rFonts w:ascii="Calibri" w:cs="Calibri" w:eastAsia="Calibri" w:hAnsi="Calibri"/>
          <w:b/>
          <w:bCs/>
          <w:color w:val="2E5395"/>
          <w:sz w:val="23"/>
          <w:szCs w:val="23"/>
        </w:rPr>
        <w:t xml:space="preserve">Month 3–9: Anchor acquisition</w:t>
      </w:r>
    </w:p>
    <w:p>
      <w:pPr>
        <w:spacing w:after="120" w:line="300"/>
        <w:jc w:val="both"/>
      </w:pPr>
      <w:r>
        <w:rPr>
          <w:rFonts w:ascii="Calibri" w:cs="Calibri" w:eastAsia="Calibri" w:hAnsi="Calibri"/>
          <w:b w:val="false"/>
          <w:bCs w:val="false"/>
          <w:i w:val="false"/>
          <w:iCs w:val="false"/>
          <w:sz w:val="22"/>
          <w:szCs w:val="22"/>
        </w:rPr>
        <w:t xml:space="preserve">Close the platform-defining anchor deal: a €1.5–3M EBITDA practice with strong management depth, niche specialization, and a CEO/founder willing to assume Platform CEO role. Pay 6.5–8x EBITDA; structure: 60% cash, 25% rollover equity, 15% earnout over 24 months tied to client retention + EBITDA growth. This single deal sets the integration playbook for all subsequent ones.</w:t>
      </w:r>
    </w:p>
    <w:p>
      <w:pPr>
        <w:pStyle w:val="Heading3"/>
        <w:spacing w:after="120" w:before="220"/>
      </w:pPr>
      <w:r>
        <w:rPr>
          <w:rFonts w:ascii="Calibri" w:cs="Calibri" w:eastAsia="Calibri" w:hAnsi="Calibri"/>
          <w:b/>
          <w:bCs/>
          <w:color w:val="2E5395"/>
          <w:sz w:val="23"/>
          <w:szCs w:val="23"/>
        </w:rPr>
        <w:t xml:space="preserve">Month 9–18: Bolt-ons (3–5 deals)</w:t>
      </w:r>
    </w:p>
    <w:p>
      <w:pPr>
        <w:spacing w:after="120" w:line="300"/>
        <w:jc w:val="both"/>
      </w:pPr>
      <w:r>
        <w:rPr>
          <w:rFonts w:ascii="Calibri" w:cs="Calibri" w:eastAsia="Calibri" w:hAnsi="Calibri"/>
          <w:b w:val="false"/>
          <w:bCs w:val="false"/>
          <w:i w:val="false"/>
          <w:iCs w:val="false"/>
          <w:sz w:val="22"/>
          <w:szCs w:val="22"/>
        </w:rPr>
        <w:t xml:space="preserve">Add 3–5 smaller practices, each €200–800K EBITDA, paying 4–5.5x. Bolt-on cadence: one closed deal every 8–12 weeks once integration playbook is documented. Focus geographic clustering (same regional cluster as anchor) and niche overlap (extend the same vertical specialization).</w:t>
      </w:r>
    </w:p>
    <w:p>
      <w:pPr>
        <w:pStyle w:val="Heading3"/>
        <w:spacing w:after="120" w:before="220"/>
      </w:pPr>
      <w:r>
        <w:rPr>
          <w:rFonts w:ascii="Calibri" w:cs="Calibri" w:eastAsia="Calibri" w:hAnsi="Calibri"/>
          <w:b/>
          <w:bCs/>
          <w:color w:val="2E5395"/>
          <w:sz w:val="23"/>
          <w:szCs w:val="23"/>
        </w:rPr>
        <w:t xml:space="preserve">Month 18–24: Tech &amp; process build-out</w:t>
      </w:r>
    </w:p>
    <w:p>
      <w:pPr>
        <w:spacing w:after="120" w:line="300"/>
        <w:jc w:val="both"/>
      </w:pPr>
      <w:r>
        <w:rPr>
          <w:rFonts w:ascii="Calibri" w:cs="Calibri" w:eastAsia="Calibri" w:hAnsi="Calibri"/>
          <w:b w:val="false"/>
          <w:bCs w:val="false"/>
          <w:i w:val="false"/>
          <w:iCs w:val="false"/>
          <w:sz w:val="22"/>
          <w:szCs w:val="22"/>
        </w:rPr>
        <w:t xml:space="preserve">Deploy unified tech stack across acquired practices: cloud accounting (Xero / Sage / FattureInCloud / TeamSystem in Italy); document IDP (Rossum, Klippa, Hypatos, or Italian-language equivalents); bookkeeping copilots; client portal. Move all clients to standardized SLAs and tiered pricing. Establish a centralized shared-services team (preferably in a lower-cost region — Romania for an Italian platform — for back-office processing).</w:t>
      </w:r>
    </w:p>
    <w:p>
      <w:pPr>
        <w:pStyle w:val="Heading2"/>
        <w:spacing w:after="160" w:before="280"/>
      </w:pPr>
      <w:r>
        <w:rPr>
          <w:rFonts w:ascii="Calibri" w:cs="Calibri" w:eastAsia="Calibri" w:hAnsi="Calibri"/>
          <w:b/>
          <w:bCs/>
          <w:color w:val="2E5395"/>
          <w:sz w:val="26"/>
          <w:szCs w:val="26"/>
        </w:rPr>
        <w:t xml:space="preserve">3. Niche-stacking strategy</w:t>
      </w:r>
    </w:p>
    <w:p>
      <w:pPr>
        <w:spacing w:after="120" w:line="300"/>
        <w:jc w:val="both"/>
      </w:pPr>
      <w:r>
        <w:rPr>
          <w:rFonts w:ascii="Calibri" w:cs="Calibri" w:eastAsia="Calibri" w:hAnsi="Calibri"/>
          <w:b w:val="false"/>
          <w:bCs w:val="false"/>
          <w:i w:val="false"/>
          <w:iCs w:val="false"/>
          <w:sz w:val="22"/>
          <w:szCs w:val="22"/>
        </w:rPr>
        <w:t xml:space="preserve">The single biggest mistake in accounting roll-ups is acquiring 'generalist' firms in different regions. The 'Frankenstein effect' (cf. Xeinadin / Azets) comes from buying generalist practices with mismatched client bases. The disciplined alternative: stack two niches — one by industry, one by service — to create defensible positioning:</w:t>
      </w:r>
    </w:p>
    <w:p>
      <w:pPr>
        <w:pStyle w:val="ListParagraph"/>
        <w:numPr>
          <w:ilvl w:val="0"/>
          <w:numId w:val="1"/>
        </w:numPr>
        <w:spacing w:after="80" w:line="280"/>
      </w:pPr>
      <w:r>
        <w:rPr>
          <w:rFonts w:ascii="Calibri" w:cs="Calibri" w:eastAsia="Calibri" w:hAnsi="Calibri"/>
          <w:sz w:val="22"/>
          <w:szCs w:val="22"/>
        </w:rPr>
        <w:t xml:space="preserve">Industry niches that translate well in SEE/CEE: e-commerce SMBs, food &amp; beverage / hospitality, light manufacturing exporters, real-estate holdco services, healthcare practices, professional services.</w:t>
      </w:r>
    </w:p>
    <w:p>
      <w:pPr>
        <w:pStyle w:val="ListParagraph"/>
        <w:numPr>
          <w:ilvl w:val="0"/>
          <w:numId w:val="1"/>
        </w:numPr>
        <w:spacing w:after="80" w:line="280"/>
      </w:pPr>
      <w:r>
        <w:rPr>
          <w:rFonts w:ascii="Calibri" w:cs="Calibri" w:eastAsia="Calibri" w:hAnsi="Calibri"/>
          <w:sz w:val="22"/>
          <w:szCs w:val="22"/>
        </w:rPr>
        <w:t xml:space="preserve">Service niches: VAT/e-invoice compliance (Poland KSeF), payroll-heavy practices, IFRS reporting for foreign-parent subsidiaries, international tax structuring for SMB exporters.</w:t>
      </w:r>
    </w:p>
    <w:p>
      <w:pPr>
        <w:pStyle w:val="ListParagraph"/>
        <w:numPr>
          <w:ilvl w:val="0"/>
          <w:numId w:val="1"/>
        </w:numPr>
        <w:spacing w:after="80" w:line="280"/>
      </w:pPr>
      <w:r>
        <w:rPr>
          <w:rFonts w:ascii="Calibri" w:cs="Calibri" w:eastAsia="Calibri" w:hAnsi="Calibri"/>
          <w:sz w:val="22"/>
          <w:szCs w:val="22"/>
        </w:rPr>
        <w:t xml:space="preserve">Stacked example: 'Italy e-commerce SMB accounting + IFRS subsidiary reporting' — defensible, repeatable, exit-attractive.</w:t>
      </w:r>
    </w:p>
    <w:p>
      <w:pPr>
        <w:pStyle w:val="Heading2"/>
        <w:spacing w:after="160" w:before="280"/>
      </w:pPr>
      <w:r>
        <w:rPr>
          <w:rFonts w:ascii="Calibri" w:cs="Calibri" w:eastAsia="Calibri" w:hAnsi="Calibri"/>
          <w:b/>
          <w:bCs/>
          <w:color w:val="2E5395"/>
          <w:sz w:val="26"/>
          <w:szCs w:val="26"/>
        </w:rPr>
        <w:t xml:space="preserve">4. AI value-creation playbook</w:t>
      </w:r>
    </w:p>
    <w:p>
      <w:pPr>
        <w:spacing w:after="120" w:line="300"/>
        <w:jc w:val="both"/>
      </w:pPr>
      <w:r>
        <w:rPr>
          <w:rFonts w:ascii="Calibri" w:cs="Calibri" w:eastAsia="Calibri" w:hAnsi="Calibri"/>
          <w:b w:val="false"/>
          <w:bCs w:val="false"/>
          <w:i w:val="false"/>
          <w:iCs w:val="false"/>
          <w:sz w:val="22"/>
          <w:szCs w:val="22"/>
        </w:rPr>
        <w:t xml:space="preserve">What actually works post-acquisition (12–24 months):</w:t>
      </w:r>
    </w:p>
    <w:p>
      <w:pPr>
        <w:pStyle w:val="ListParagraph"/>
        <w:numPr>
          <w:ilvl w:val="0"/>
          <w:numId w:val="1"/>
        </w:numPr>
        <w:spacing w:after="80" w:line="280"/>
      </w:pPr>
      <w:r>
        <w:rPr>
          <w:rFonts w:ascii="Calibri" w:cs="Calibri" w:eastAsia="Calibri" w:hAnsi="Calibri"/>
          <w:sz w:val="22"/>
          <w:szCs w:val="22"/>
        </w:rPr>
        <w:t xml:space="preserve">Document IDP: automated invoice/receipt ingestion. Productivity gain 20–35% on data-entry roles. ROI 6–9 months.</w:t>
      </w:r>
    </w:p>
    <w:p>
      <w:pPr>
        <w:pStyle w:val="ListParagraph"/>
        <w:numPr>
          <w:ilvl w:val="0"/>
          <w:numId w:val="1"/>
        </w:numPr>
        <w:spacing w:after="80" w:line="280"/>
      </w:pPr>
      <w:r>
        <w:rPr>
          <w:rFonts w:ascii="Calibri" w:cs="Calibri" w:eastAsia="Calibri" w:hAnsi="Calibri"/>
          <w:sz w:val="22"/>
          <w:szCs w:val="22"/>
        </w:rPr>
        <w:t xml:space="preserve">Bookkeeping copilots: AI-assisted reconciliation and categorization. Productivity gain 15–25% on junior accountant roles.</w:t>
      </w:r>
    </w:p>
    <w:p>
      <w:pPr>
        <w:pStyle w:val="ListParagraph"/>
        <w:numPr>
          <w:ilvl w:val="0"/>
          <w:numId w:val="1"/>
        </w:numPr>
        <w:spacing w:after="80" w:line="280"/>
      </w:pPr>
      <w:r>
        <w:rPr>
          <w:rFonts w:ascii="Calibri" w:cs="Calibri" w:eastAsia="Calibri" w:hAnsi="Calibri"/>
          <w:sz w:val="22"/>
          <w:szCs w:val="22"/>
        </w:rPr>
        <w:t xml:space="preserve">Payroll automation: country-specific payroll engines with embedded compliance. Productivity gain 30–50%.</w:t>
      </w:r>
    </w:p>
    <w:p>
      <w:pPr>
        <w:pStyle w:val="ListParagraph"/>
        <w:numPr>
          <w:ilvl w:val="0"/>
          <w:numId w:val="1"/>
        </w:numPr>
        <w:spacing w:after="80" w:line="280"/>
      </w:pPr>
      <w:r>
        <w:rPr>
          <w:rFonts w:ascii="Calibri" w:cs="Calibri" w:eastAsia="Calibri" w:hAnsi="Calibri"/>
          <w:sz w:val="22"/>
          <w:szCs w:val="22"/>
        </w:rPr>
        <w:t xml:space="preserve">VAT/e-invoice compliance: e-invoice flow automation, especially valuable in Poland (KSeF) and Italy (FatturaPA).</w:t>
      </w:r>
    </w:p>
    <w:p>
      <w:pPr>
        <w:pStyle w:val="ListParagraph"/>
        <w:numPr>
          <w:ilvl w:val="0"/>
          <w:numId w:val="1"/>
        </w:numPr>
        <w:spacing w:after="80" w:line="280"/>
      </w:pPr>
      <w:r>
        <w:rPr>
          <w:rFonts w:ascii="Calibri" w:cs="Calibri" w:eastAsia="Calibri" w:hAnsi="Calibri"/>
          <w:sz w:val="22"/>
          <w:szCs w:val="22"/>
        </w:rPr>
        <w:t xml:space="preserve">Client portal + self-service: reduces low-value advisory time, frees senior staff for higher-margin work.</w:t>
      </w:r>
    </w:p>
    <w:p>
      <w:pPr>
        <w:spacing w:after="120" w:line="300"/>
        <w:jc w:val="both"/>
      </w:pPr>
      <w:r>
        <w:rPr>
          <w:rFonts w:ascii="Calibri" w:cs="Calibri" w:eastAsia="Calibri" w:hAnsi="Calibri"/>
          <w:b w:val="false"/>
          <w:bCs w:val="false"/>
          <w:i w:val="false"/>
          <w:iCs w:val="false"/>
          <w:sz w:val="22"/>
          <w:szCs w:val="22"/>
        </w:rPr>
        <w:t xml:space="preserve">What does not yet work at scale (proceed with caution): full agentic bookkeeping; AI tax-advisory; AI-generated statutory accounts without human sign-off. These are roadmap items, not near-term margin levers.</w:t>
      </w:r>
    </w:p>
    <w:p>
      <w:pPr>
        <w:pStyle w:val="Heading2"/>
        <w:spacing w:after="160" w:before="280"/>
      </w:pPr>
      <w:r>
        <w:rPr>
          <w:rFonts w:ascii="Calibri" w:cs="Calibri" w:eastAsia="Calibri" w:hAnsi="Calibri"/>
          <w:b/>
          <w:bCs/>
          <w:color w:val="2E5395"/>
          <w:sz w:val="26"/>
          <w:szCs w:val="26"/>
        </w:rPr>
        <w:t xml:space="preserve">5. Talent &amp; integration</w:t>
      </w:r>
    </w:p>
    <w:p>
      <w:pPr>
        <w:spacing w:after="120" w:line="300"/>
        <w:jc w:val="both"/>
      </w:pPr>
      <w:r>
        <w:rPr>
          <w:rFonts w:ascii="Calibri" w:cs="Calibri" w:eastAsia="Calibri" w:hAnsi="Calibri"/>
          <w:b w:val="false"/>
          <w:bCs w:val="false"/>
          <w:i w:val="false"/>
          <w:iCs w:val="false"/>
          <w:sz w:val="22"/>
          <w:szCs w:val="22"/>
        </w:rPr>
        <w:t xml:space="preserve">The 100-day plan after each acquisition is non-negotiable. Industry data: 92% of integrations succeed when synergies are tracked from day one (Merger Integration). Core BTS (a PE-backed IT services roll-up) cut integration time from 6 months to 45 days by investing in a documented playbook. The accounting-specific playbook: (1) keep all partners on a 24-month transition; (2) standardize back-office immediately; (3) keep client-facing brand for first 12 months, then migrate to platform brand; (4) move payroll &amp; HR systems first, client systems last; (5) measure NPS quarterly, escalate any practice with retention below 85% TTM.</w:t>
      </w:r>
    </w:p>
    <w:p>
      <w:pPr>
        <w:pStyle w:val="Heading1"/>
        <w:spacing w:after="200" w:before="360"/>
      </w:pPr>
      <w:r>
        <w:rPr>
          <w:rFonts w:ascii="Calibri" w:cs="Calibri" w:eastAsia="Calibri" w:hAnsi="Calibri"/>
          <w:b/>
          <w:bCs/>
          <w:color w:val="1F3864"/>
          <w:sz w:val="32"/>
          <w:szCs w:val="32"/>
        </w:rPr>
        <w:t xml:space="preserve">Part IV — Target company profile (Ideal Acquisition Target)</w:t>
      </w:r>
    </w:p>
    <w:p>
      <w:pPr>
        <w:pStyle w:val="Heading2"/>
        <w:spacing w:after="160" w:before="280"/>
      </w:pPr>
      <w:r>
        <w:rPr>
          <w:rFonts w:ascii="Calibri" w:cs="Calibri" w:eastAsia="Calibri" w:hAnsi="Calibri"/>
          <w:b/>
          <w:bCs/>
          <w:color w:val="2E5395"/>
          <w:sz w:val="26"/>
          <w:szCs w:val="26"/>
        </w:rPr>
        <w:t xml:space="preserve">1. Financial profile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shd w:fill="1F3864" w:color="1F3864" w:val="solid"/>
          </w:tcPr>
          <w:p>
            <w:pPr>
              <w:spacing w:after="60" w:before="60"/>
              <w:jc w:val="left"/>
            </w:pPr>
            <w:r>
              <w:rPr>
                <w:rFonts w:ascii="Calibri" w:cs="Calibri" w:eastAsia="Calibri" w:hAnsi="Calibri"/>
                <w:b/>
                <w:bCs/>
                <w:color w:val="FFFFFF"/>
                <w:sz w:val="20"/>
                <w:szCs w:val="20"/>
              </w:rPr>
              <w:t xml:space="preserve">Metric</w:t>
            </w:r>
          </w:p>
        </w:tc>
        <w:tc>
          <w:tcPr>
            <w:tcW w:type="dxa" w:w="1500"/>
            <w:shd w:fill="1F3864" w:color="1F3864" w:val="solid"/>
          </w:tcPr>
          <w:p>
            <w:pPr>
              <w:spacing w:after="60" w:before="60"/>
              <w:jc w:val="left"/>
            </w:pPr>
            <w:r>
              <w:rPr>
                <w:rFonts w:ascii="Calibri" w:cs="Calibri" w:eastAsia="Calibri" w:hAnsi="Calibri"/>
                <w:b/>
                <w:bCs/>
                <w:color w:val="FFFFFF"/>
                <w:sz w:val="20"/>
                <w:szCs w:val="20"/>
              </w:rPr>
              <w:t xml:space="preserve">Anchor target</w:t>
            </w:r>
          </w:p>
        </w:tc>
        <w:tc>
          <w:tcPr>
            <w:tcW w:type="dxa" w:w="1500"/>
            <w:shd w:fill="1F3864" w:color="1F3864" w:val="solid"/>
          </w:tcPr>
          <w:p>
            <w:pPr>
              <w:spacing w:after="60" w:before="60"/>
              <w:jc w:val="left"/>
            </w:pPr>
            <w:r>
              <w:rPr>
                <w:rFonts w:ascii="Calibri" w:cs="Calibri" w:eastAsia="Calibri" w:hAnsi="Calibri"/>
                <w:b/>
                <w:bCs/>
                <w:color w:val="FFFFFF"/>
                <w:sz w:val="20"/>
                <w:szCs w:val="20"/>
              </w:rPr>
              <w:t xml:space="preserve">Bolt-on target</w:t>
            </w:r>
          </w:p>
        </w:tc>
        <w:tc>
          <w:tcPr>
            <w:tcW w:type="dxa" w:w="3300"/>
            <w:shd w:fill="1F3864" w:color="1F3864" w:val="solid"/>
          </w:tcPr>
          <w:p>
            <w:pPr>
              <w:spacing w:after="60" w:before="60"/>
              <w:jc w:val="left"/>
            </w:pPr>
            <w:r>
              <w:rPr>
                <w:rFonts w:ascii="Calibri" w:cs="Calibri" w:eastAsia="Calibri" w:hAnsi="Calibri"/>
                <w:b/>
                <w:bCs/>
                <w:color w:val="FFFFFF"/>
                <w:sz w:val="20"/>
                <w:szCs w:val="20"/>
              </w:rPr>
              <w:t xml:space="preserve">Why it matters</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Revenue</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€2.5–8M</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€0.6–2.5M</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Below €600K loses scale economics</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EBITDA</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€600K–2M</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€150–600K</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Drives multiple band</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EBITDA margin</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22–32%</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18–28%</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Below 18% = labor leverage problem</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Recurring revenue</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80%+</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70%+</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0.2–0.4x multiple premium</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Client retention (LTM)</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90%+</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85%+</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Below 85% = pricing power gap</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Top 10 client concentration</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&lt;25%</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&lt;35%</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Above = key-person risk</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Revenue per client (avg)</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€8–20K</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€3–10K</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Mix indicator (SMB vs micro)</w:t>
            </w:r>
          </w:p>
        </w:tc>
      </w:tr>
      <w:tr>
        <w:tc>
          <w:tcPr>
            <w:tcW w:type="dxa" w:w="1700"/>
            <w:shd w:fill="FFFFFF" w:color="FFFFFF" w:val="solid"/>
          </w:tcPr>
          <w:p>
            <w:pPr>
              <w:spacing w:after="60" w:before="60"/>
              <w:jc w:val="left"/>
            </w:pPr>
            <w:r>
              <w:rPr>
                <w:rFonts w:ascii="Calibri" w:cs="Calibri" w:eastAsia="Calibri" w:hAnsi="Calibri"/>
                <w:b w:val="false"/>
                <w:bCs w:val="false"/>
                <w:sz w:val="20"/>
                <w:szCs w:val="20"/>
              </w:rPr>
              <w:t xml:space="preserve">Revenue per FTE</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€90–140K</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€70–110K</w:t>
            </w:r>
          </w:p>
        </w:tc>
        <w:tc>
          <w:tcPr>
            <w:tcW w:type="dxa" w:w="3300"/>
            <w:shd w:fill="F2F2F2" w:color="F2F2F2" w:val="solid"/>
          </w:tcPr>
          <w:p>
            <w:pPr>
              <w:spacing w:after="60" w:before="60"/>
              <w:jc w:val="left"/>
            </w:pPr>
            <w:r>
              <w:rPr>
                <w:rFonts w:ascii="Calibri" w:cs="Calibri" w:eastAsia="Calibri" w:hAnsi="Calibri"/>
                <w:b w:val="false"/>
                <w:bCs w:val="false"/>
                <w:sz w:val="20"/>
                <w:szCs w:val="20"/>
              </w:rPr>
              <w:t xml:space="preserve">Productivity baseline</w:t>
            </w:r>
          </w:p>
        </w:tc>
      </w:tr>
    </w:tbl>
    <w:p>
      <w:pPr>
        <w:spacing w:after="120" w:line="300"/>
        <w:jc w:val="both"/>
      </w:pPr>
      <w:r>
        <w:rPr>
          <w:rFonts w:ascii="Calibri" w:cs="Calibri" w:eastAsia="Calibri" w:hAnsi="Calibri"/>
          <w:b w:val="false"/>
          <w:bCs w:val="false"/>
          <w:i w:val="false"/>
          <w:iCs w:val="false"/>
          <w:sz w:val="22"/>
          <w:szCs w:val="22"/>
        </w:rPr>
        <w:t xml:space="preserve"> </w:t>
      </w:r>
    </w:p>
    <w:p>
      <w:pPr>
        <w:pStyle w:val="Heading2"/>
        <w:spacing w:after="160" w:before="280"/>
      </w:pPr>
      <w:r>
        <w:rPr>
          <w:rFonts w:ascii="Calibri" w:cs="Calibri" w:eastAsia="Calibri" w:hAnsi="Calibri"/>
          <w:b/>
          <w:bCs/>
          <w:color w:val="2E5395"/>
          <w:sz w:val="26"/>
          <w:szCs w:val="26"/>
        </w:rPr>
        <w:t xml:space="preserve">2. Operational profile</w:t>
      </w:r>
    </w:p>
    <w:p>
      <w:pPr>
        <w:pStyle w:val="ListParagraph"/>
        <w:numPr>
          <w:ilvl w:val="0"/>
          <w:numId w:val="1"/>
        </w:numPr>
        <w:spacing w:after="80" w:line="280"/>
      </w:pPr>
      <w:r>
        <w:rPr>
          <w:rFonts w:ascii="Calibri" w:cs="Calibri" w:eastAsia="Calibri" w:hAnsi="Calibri"/>
          <w:sz w:val="22"/>
          <w:szCs w:val="22"/>
        </w:rPr>
        <w:t xml:space="preserve">Staff: 8–25 FTE for bolt-on; 20–60 FTE for anchor. Senior-to-junior ratio not worse than 1:3.</w:t>
      </w:r>
    </w:p>
    <w:p>
      <w:pPr>
        <w:pStyle w:val="ListParagraph"/>
        <w:numPr>
          <w:ilvl w:val="0"/>
          <w:numId w:val="1"/>
        </w:numPr>
        <w:spacing w:after="80" w:line="280"/>
      </w:pPr>
      <w:r>
        <w:rPr>
          <w:rFonts w:ascii="Calibri" w:cs="Calibri" w:eastAsia="Calibri" w:hAnsi="Calibri"/>
          <w:sz w:val="22"/>
          <w:szCs w:val="22"/>
        </w:rPr>
        <w:t xml:space="preserve">Tech stack: at least one cloud accounting platform (Xero, Sage, FattureInCloud, TeamSystem). Manual / desktop-only firms add 6–9 months integration cost.</w:t>
      </w:r>
    </w:p>
    <w:p>
      <w:pPr>
        <w:pStyle w:val="ListParagraph"/>
        <w:numPr>
          <w:ilvl w:val="0"/>
          <w:numId w:val="1"/>
        </w:numPr>
        <w:spacing w:after="80" w:line="280"/>
      </w:pPr>
      <w:r>
        <w:rPr>
          <w:rFonts w:ascii="Calibri" w:cs="Calibri" w:eastAsia="Calibri" w:hAnsi="Calibri"/>
          <w:sz w:val="22"/>
          <w:szCs w:val="22"/>
        </w:rPr>
        <w:t xml:space="preserve">Document workflow: any IDP/OCR adoption is a plus; if none, AI tooling is the value-creation lever.</w:t>
      </w:r>
    </w:p>
    <w:p>
      <w:pPr>
        <w:pStyle w:val="ListParagraph"/>
        <w:numPr>
          <w:ilvl w:val="0"/>
          <w:numId w:val="1"/>
        </w:numPr>
        <w:spacing w:after="80" w:line="280"/>
      </w:pPr>
      <w:r>
        <w:rPr>
          <w:rFonts w:ascii="Calibri" w:cs="Calibri" w:eastAsia="Calibri" w:hAnsi="Calibri"/>
          <w:sz w:val="22"/>
          <w:szCs w:val="22"/>
        </w:rPr>
        <w:t xml:space="preserve">Client mix: 70%+ SMB clients (the operator's chosen niche), &lt;30% micro / sole proprietor (lower-value, lower-margin).</w:t>
      </w:r>
    </w:p>
    <w:p>
      <w:pPr>
        <w:pStyle w:val="ListParagraph"/>
        <w:numPr>
          <w:ilvl w:val="0"/>
          <w:numId w:val="1"/>
        </w:numPr>
        <w:spacing w:after="80" w:line="280"/>
      </w:pPr>
      <w:r>
        <w:rPr>
          <w:rFonts w:ascii="Calibri" w:cs="Calibri" w:eastAsia="Calibri" w:hAnsi="Calibri"/>
          <w:sz w:val="22"/>
          <w:szCs w:val="22"/>
        </w:rPr>
        <w:t xml:space="preserve">Service mix: 50%+ recurring (bookkeeping, payroll, VAT, monthly reporting); 20–40% advisory or compliance work; &lt;20% one-off engagements.</w:t>
      </w:r>
    </w:p>
    <w:p>
      <w:pPr>
        <w:pStyle w:val="Heading2"/>
        <w:spacing w:after="160" w:before="280"/>
      </w:pPr>
      <w:r>
        <w:rPr>
          <w:rFonts w:ascii="Calibri" w:cs="Calibri" w:eastAsia="Calibri" w:hAnsi="Calibri"/>
          <w:b/>
          <w:bCs/>
          <w:color w:val="2E5395"/>
          <w:sz w:val="26"/>
          <w:szCs w:val="26"/>
        </w:rPr>
        <w:t xml:space="preserve">3. Owner &amp; governance profile</w:t>
      </w:r>
    </w:p>
    <w:p>
      <w:pPr>
        <w:pStyle w:val="ListParagraph"/>
        <w:numPr>
          <w:ilvl w:val="0"/>
          <w:numId w:val="1"/>
        </w:numPr>
        <w:spacing w:after="80" w:line="280"/>
      </w:pPr>
      <w:r>
        <w:rPr>
          <w:rFonts w:ascii="Calibri" w:cs="Calibri" w:eastAsia="Calibri" w:hAnsi="Calibri"/>
          <w:sz w:val="22"/>
          <w:szCs w:val="22"/>
        </w:rPr>
        <w:t xml:space="preserve">Owner age: 50–62. Below 50 = often not ready to sell. Above 62 = succession urgency higher but transition risk if owner leaves.</w:t>
      </w:r>
    </w:p>
    <w:p>
      <w:pPr>
        <w:pStyle w:val="ListParagraph"/>
        <w:numPr>
          <w:ilvl w:val="0"/>
          <w:numId w:val="1"/>
        </w:numPr>
        <w:spacing w:after="80" w:line="280"/>
      </w:pPr>
      <w:r>
        <w:rPr>
          <w:rFonts w:ascii="Calibri" w:cs="Calibri" w:eastAsia="Calibri" w:hAnsi="Calibri"/>
          <w:sz w:val="22"/>
          <w:szCs w:val="22"/>
        </w:rPr>
        <w:t xml:space="preserve">Internal succession: none, or weak. If there's a clear internal successor, the owner usually sells to them, not to PE.</w:t>
      </w:r>
    </w:p>
    <w:p>
      <w:pPr>
        <w:pStyle w:val="ListParagraph"/>
        <w:numPr>
          <w:ilvl w:val="0"/>
          <w:numId w:val="1"/>
        </w:numPr>
        <w:spacing w:after="80" w:line="280"/>
      </w:pPr>
      <w:r>
        <w:rPr>
          <w:rFonts w:ascii="Calibri" w:cs="Calibri" w:eastAsia="Calibri" w:hAnsi="Calibri"/>
          <w:sz w:val="22"/>
          <w:szCs w:val="22"/>
        </w:rPr>
        <w:t xml:space="preserve">Transition willingness: must agree to 24-month stay-on with measurable handover targets.</w:t>
      </w:r>
    </w:p>
    <w:p>
      <w:pPr>
        <w:pStyle w:val="ListParagraph"/>
        <w:numPr>
          <w:ilvl w:val="0"/>
          <w:numId w:val="1"/>
        </w:numPr>
        <w:spacing w:after="80" w:line="280"/>
      </w:pPr>
      <w:r>
        <w:rPr>
          <w:rFonts w:ascii="Calibri" w:cs="Calibri" w:eastAsia="Calibri" w:hAnsi="Calibri"/>
          <w:sz w:val="22"/>
          <w:szCs w:val="22"/>
        </w:rPr>
        <w:t xml:space="preserve">Rollover equity: 25–40% of equity rolls into platform equity. Less than 20% = poor alignment; more than 50% = owner functionally not selling.</w:t>
      </w:r>
    </w:p>
    <w:p>
      <w:pPr>
        <w:pStyle w:val="ListParagraph"/>
        <w:numPr>
          <w:ilvl w:val="0"/>
          <w:numId w:val="1"/>
        </w:numPr>
        <w:spacing w:after="80" w:line="280"/>
      </w:pPr>
      <w:r>
        <w:rPr>
          <w:rFonts w:ascii="Calibri" w:cs="Calibri" w:eastAsia="Calibri" w:hAnsi="Calibri"/>
          <w:sz w:val="22"/>
          <w:szCs w:val="22"/>
        </w:rPr>
        <w:t xml:space="preserve">Partner depth: at least 1 non-owner senior who can step into client relationships if owner exits early.</w:t>
      </w:r>
    </w:p>
    <w:p>
      <w:pPr>
        <w:pStyle w:val="Heading2"/>
        <w:spacing w:after="160" w:before="280"/>
      </w:pPr>
      <w:r>
        <w:rPr>
          <w:rFonts w:ascii="Calibri" w:cs="Calibri" w:eastAsia="Calibri" w:hAnsi="Calibri"/>
          <w:b/>
          <w:bCs/>
          <w:color w:val="2E5395"/>
          <w:sz w:val="26"/>
          <w:szCs w:val="26"/>
        </w:rPr>
        <w:t xml:space="preserve">4. Red flags (walk away)</w:t>
      </w:r>
    </w:p>
    <w:p>
      <w:pPr>
        <w:pStyle w:val="ListParagraph"/>
        <w:numPr>
          <w:ilvl w:val="0"/>
          <w:numId w:val="1"/>
        </w:numPr>
        <w:spacing w:after="80" w:line="280"/>
      </w:pPr>
      <w:r>
        <w:rPr>
          <w:rFonts w:ascii="Calibri" w:cs="Calibri" w:eastAsia="Calibri" w:hAnsi="Calibri"/>
          <w:sz w:val="22"/>
          <w:szCs w:val="22"/>
        </w:rPr>
        <w:t xml:space="preserve">Top 5 clients &gt;40% of revenue.</w:t>
      </w:r>
    </w:p>
    <w:p>
      <w:pPr>
        <w:pStyle w:val="ListParagraph"/>
        <w:numPr>
          <w:ilvl w:val="0"/>
          <w:numId w:val="1"/>
        </w:numPr>
        <w:spacing w:after="80" w:line="280"/>
      </w:pPr>
      <w:r>
        <w:rPr>
          <w:rFonts w:ascii="Calibri" w:cs="Calibri" w:eastAsia="Calibri" w:hAnsi="Calibri"/>
          <w:sz w:val="22"/>
          <w:szCs w:val="22"/>
        </w:rPr>
        <w:t xml:space="preserve">Owner has no documented client succession plan and refuses to commit to transition.</w:t>
      </w:r>
    </w:p>
    <w:p>
      <w:pPr>
        <w:pStyle w:val="ListParagraph"/>
        <w:numPr>
          <w:ilvl w:val="0"/>
          <w:numId w:val="1"/>
        </w:numPr>
        <w:spacing w:after="80" w:line="280"/>
      </w:pPr>
      <w:r>
        <w:rPr>
          <w:rFonts w:ascii="Calibri" w:cs="Calibri" w:eastAsia="Calibri" w:hAnsi="Calibri"/>
          <w:sz w:val="22"/>
          <w:szCs w:val="22"/>
        </w:rPr>
        <w:t xml:space="preserve">Revenue growth &lt;0% LTM with no demonstrable reason (vs market) — usually means quiet client attrition.</w:t>
      </w:r>
    </w:p>
    <w:p>
      <w:pPr>
        <w:pStyle w:val="ListParagraph"/>
        <w:numPr>
          <w:ilvl w:val="0"/>
          <w:numId w:val="1"/>
        </w:numPr>
        <w:spacing w:after="80" w:line="280"/>
      </w:pPr>
      <w:r>
        <w:rPr>
          <w:rFonts w:ascii="Calibri" w:cs="Calibri" w:eastAsia="Calibri" w:hAnsi="Calibri"/>
          <w:sz w:val="22"/>
          <w:szCs w:val="22"/>
        </w:rPr>
        <w:t xml:space="preserve">Sole proprietor / no incorporation: structural barrier to clean acquisition in IT/ES/PT.</w:t>
      </w:r>
    </w:p>
    <w:p>
      <w:pPr>
        <w:pStyle w:val="ListParagraph"/>
        <w:numPr>
          <w:ilvl w:val="0"/>
          <w:numId w:val="1"/>
        </w:numPr>
        <w:spacing w:after="80" w:line="280"/>
      </w:pPr>
      <w:r>
        <w:rPr>
          <w:rFonts w:ascii="Calibri" w:cs="Calibri" w:eastAsia="Calibri" w:hAnsi="Calibri"/>
          <w:sz w:val="22"/>
          <w:szCs w:val="22"/>
        </w:rPr>
        <w:t xml:space="preserve">Pending tax audits, ODCEC / OCC / Colegio investigations, or material reputational issues.</w:t>
      </w:r>
    </w:p>
    <w:p>
      <w:pPr>
        <w:pStyle w:val="ListParagraph"/>
        <w:numPr>
          <w:ilvl w:val="0"/>
          <w:numId w:val="1"/>
        </w:numPr>
        <w:spacing w:after="80" w:line="280"/>
      </w:pPr>
      <w:r>
        <w:rPr>
          <w:rFonts w:ascii="Calibri" w:cs="Calibri" w:eastAsia="Calibri" w:hAnsi="Calibri"/>
          <w:sz w:val="22"/>
          <w:szCs w:val="22"/>
        </w:rPr>
        <w:t xml:space="preserve">Working capital structurally negative (clients pay slowly; firm finances tax payments).</w:t>
      </w:r>
    </w:p>
    <w:p>
      <w:pPr>
        <w:pStyle w:val="ListParagraph"/>
        <w:numPr>
          <w:ilvl w:val="0"/>
          <w:numId w:val="1"/>
        </w:numPr>
        <w:spacing w:after="80" w:line="280"/>
      </w:pPr>
      <w:r>
        <w:rPr>
          <w:rFonts w:ascii="Calibri" w:cs="Calibri" w:eastAsia="Calibri" w:hAnsi="Calibri"/>
          <w:sz w:val="22"/>
          <w:szCs w:val="22"/>
        </w:rPr>
        <w:t xml:space="preserve">Heavy concentration in one regulated audit engagement that cannot be cleanly separated under ASA.</w:t>
      </w:r>
    </w:p>
    <w:p>
      <w:pPr>
        <w:pStyle w:val="Heading2"/>
        <w:spacing w:after="160" w:before="280"/>
      </w:pPr>
      <w:r>
        <w:rPr>
          <w:rFonts w:ascii="Calibri" w:cs="Calibri" w:eastAsia="Calibri" w:hAnsi="Calibri"/>
          <w:b/>
          <w:bCs/>
          <w:color w:val="2E5395"/>
          <w:sz w:val="26"/>
          <w:szCs w:val="26"/>
        </w:rPr>
        <w:t xml:space="preserve">5. Country-specific tweaks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shd w:fill="1F3864" w:color="1F3864" w:val="solid"/>
          </w:tcPr>
          <w:p>
            <w:pPr>
              <w:spacing w:after="60" w:before="60"/>
              <w:jc w:val="left"/>
            </w:pPr>
            <w:r>
              <w:rPr>
                <w:rFonts w:ascii="Calibri" w:cs="Calibri" w:eastAsia="Calibri" w:hAnsi="Calibri"/>
                <w:b/>
                <w:bCs/>
                <w:color w:val="FFFFFF"/>
                <w:sz w:val="20"/>
                <w:szCs w:val="20"/>
              </w:rPr>
              <w:t xml:space="preserve">Country</w:t>
            </w:r>
          </w:p>
        </w:tc>
        <w:tc>
          <w:tcPr>
            <w:tcW w:type="dxa" w:w="1800"/>
            <w:shd w:fill="1F3864" w:color="1F3864" w:val="solid"/>
          </w:tcPr>
          <w:p>
            <w:pPr>
              <w:spacing w:after="60" w:before="60"/>
              <w:jc w:val="left"/>
            </w:pPr>
            <w:r>
              <w:rPr>
                <w:rFonts w:ascii="Calibri" w:cs="Calibri" w:eastAsia="Calibri" w:hAnsi="Calibri"/>
                <w:b/>
                <w:bCs/>
                <w:color w:val="FFFFFF"/>
                <w:sz w:val="20"/>
                <w:szCs w:val="20"/>
              </w:rPr>
              <w:t xml:space="preserve">Must-have</w:t>
            </w:r>
          </w:p>
        </w:tc>
        <w:tc>
          <w:tcPr>
            <w:tcW w:type="dxa" w:w="1900"/>
            <w:shd w:fill="1F3864" w:color="1F3864" w:val="solid"/>
          </w:tcPr>
          <w:p>
            <w:pPr>
              <w:spacing w:after="60" w:before="60"/>
              <w:jc w:val="left"/>
            </w:pPr>
            <w:r>
              <w:rPr>
                <w:rFonts w:ascii="Calibri" w:cs="Calibri" w:eastAsia="Calibri" w:hAnsi="Calibri"/>
                <w:b/>
                <w:bCs/>
                <w:color w:val="FFFFFF"/>
                <w:sz w:val="20"/>
                <w:szCs w:val="20"/>
              </w:rPr>
              <w:t xml:space="preserve">Nice-to-have</w:t>
            </w:r>
          </w:p>
        </w:tc>
        <w:tc>
          <w:tcPr>
            <w:tcW w:type="dxa" w:w="3400"/>
            <w:shd w:fill="1F3864" w:color="1F3864" w:val="solid"/>
          </w:tcPr>
          <w:p>
            <w:pPr>
              <w:spacing w:after="60" w:before="60"/>
              <w:jc w:val="left"/>
            </w:pPr>
            <w:r>
              <w:rPr>
                <w:rFonts w:ascii="Calibri" w:cs="Calibri" w:eastAsia="Calibri" w:hAnsi="Calibri"/>
                <w:b/>
                <w:bCs/>
                <w:color w:val="FFFFFF"/>
                <w:sz w:val="20"/>
                <w:szCs w:val="20"/>
              </w:rPr>
              <w:t xml:space="preserve">Specific watch-out</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Italy</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STP structure</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Lombardy / Veneto location</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ODCEC ownership rules; audit/non-audit split</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Spain</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Asesoría or gestoría corp form</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Madrid or Catalonia hub</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Colegio jurisdiction varies by region</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Portugal</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Corporate vehicle, OCC-certified accountant</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Lisbon or Porto</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OCC signing-partner requirement</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Poland</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KSeF-ready by Q4 2025</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Bilingual (PL + EN/DE)</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JPK_VDEK compliance, partner liability</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Romania</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RO e-Factura already live</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Multilingual team</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Wage inflation 12–18% YoY</w:t>
            </w:r>
          </w:p>
        </w:tc>
      </w:tr>
      <w:tr>
        <w:tc>
          <w:tcPr>
            <w:tcW w:type="dxa" w:w="1100"/>
            <w:shd w:fill="FFFFFF" w:color="FFFFFF" w:val="solid"/>
          </w:tcPr>
          <w:p>
            <w:pPr>
              <w:spacing w:after="60" w:before="60"/>
              <w:jc w:val="left"/>
            </w:pPr>
            <w:r>
              <w:rPr>
                <w:rFonts w:ascii="Calibri" w:cs="Calibri" w:eastAsia="Calibri" w:hAnsi="Calibri"/>
                <w:b w:val="false"/>
                <w:bCs w:val="false"/>
                <w:sz w:val="20"/>
                <w:szCs w:val="20"/>
              </w:rPr>
              <w:t xml:space="preserve">Czech R.</w:t>
            </w:r>
          </w:p>
        </w:tc>
        <w:tc>
          <w:tcPr>
            <w:tcW w:type="dxa" w:w="1800"/>
            <w:shd w:fill="F2F2F2" w:color="F2F2F2" w:val="solid"/>
          </w:tcPr>
          <w:p>
            <w:pPr>
              <w:spacing w:after="60" w:before="60"/>
              <w:jc w:val="left"/>
            </w:pPr>
            <w:r>
              <w:rPr>
                <w:rFonts w:ascii="Calibri" w:cs="Calibri" w:eastAsia="Calibri" w:hAnsi="Calibri"/>
                <w:b w:val="false"/>
                <w:bCs w:val="false"/>
                <w:sz w:val="20"/>
                <w:szCs w:val="20"/>
              </w:rPr>
              <w:t xml:space="preserve">SAF-T compliant</w:t>
            </w:r>
          </w:p>
        </w:tc>
        <w:tc>
          <w:tcPr>
            <w:tcW w:type="dxa" w:w="1900"/>
            <w:shd w:fill="FFFFFF" w:color="FFFFFF" w:val="solid"/>
          </w:tcPr>
          <w:p>
            <w:pPr>
              <w:spacing w:after="60" w:before="60"/>
              <w:jc w:val="left"/>
            </w:pPr>
            <w:r>
              <w:rPr>
                <w:rFonts w:ascii="Calibri" w:cs="Calibri" w:eastAsia="Calibri" w:hAnsi="Calibri"/>
                <w:b w:val="false"/>
                <w:bCs w:val="false"/>
                <w:sz w:val="20"/>
                <w:szCs w:val="20"/>
              </w:rPr>
              <w:t xml:space="preserve">EN/DE language</w:t>
            </w:r>
          </w:p>
        </w:tc>
        <w:tc>
          <w:tcPr>
            <w:tcW w:type="dxa" w:w="3400"/>
            <w:shd w:fill="F2F2F2" w:color="F2F2F2" w:val="solid"/>
          </w:tcPr>
          <w:p>
            <w:pPr>
              <w:spacing w:after="60" w:before="60"/>
              <w:jc w:val="left"/>
            </w:pPr>
            <w:r>
              <w:rPr>
                <w:rFonts w:ascii="Calibri" w:cs="Calibri" w:eastAsia="Calibri" w:hAnsi="Calibri"/>
                <w:b w:val="false"/>
                <w:bCs w:val="false"/>
                <w:sz w:val="20"/>
                <w:szCs w:val="20"/>
              </w:rPr>
              <w:t xml:space="preserve">Czech Competition Authority notifications</w:t>
            </w:r>
          </w:p>
        </w:tc>
      </w:tr>
    </w:tbl>
    <w:p>
      <w:pPr>
        <w:spacing w:after="120" w:line="300"/>
        <w:jc w:val="both"/>
      </w:pPr>
      <w:r>
        <w:rPr>
          <w:rFonts w:ascii="Calibri" w:cs="Calibri" w:eastAsia="Calibri" w:hAnsi="Calibri"/>
          <w:b w:val="false"/>
          <w:bCs w:val="false"/>
          <w:i w:val="false"/>
          <w:iCs w:val="false"/>
          <w:sz w:val="22"/>
          <w:szCs w:val="22"/>
        </w:rPr>
        <w:t xml:space="preserve"> </w:t>
      </w:r>
    </w:p>
    <w:p>
      <w:pPr>
        <w:pStyle w:val="Heading1"/>
        <w:spacing w:after="200" w:before="360"/>
      </w:pPr>
      <w:r>
        <w:rPr>
          <w:rFonts w:ascii="Calibri" w:cs="Calibri" w:eastAsia="Calibri" w:hAnsi="Calibri"/>
          <w:b/>
          <w:bCs/>
          <w:color w:val="1F3864"/>
          <w:sz w:val="32"/>
          <w:szCs w:val="32"/>
        </w:rPr>
        <w:t xml:space="preserve">Part V — Deal mechanics by region</w:t>
      </w:r>
    </w:p>
    <w:p>
      <w:pPr>
        <w:pStyle w:val="Heading2"/>
        <w:spacing w:after="160" w:before="280"/>
      </w:pPr>
      <w:r>
        <w:rPr>
          <w:rFonts w:ascii="Calibri" w:cs="Calibri" w:eastAsia="Calibri" w:hAnsi="Calibri"/>
          <w:b/>
          <w:bCs/>
          <w:color w:val="2E5395"/>
          <w:sz w:val="26"/>
          <w:szCs w:val="26"/>
        </w:rPr>
        <w:t xml:space="preserve">Multiples summary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shd w:fill="1F3864" w:color="1F3864" w:val="solid"/>
          </w:tcPr>
          <w:p>
            <w:pPr>
              <w:spacing w:after="60" w:before="60"/>
              <w:jc w:val="left"/>
            </w:pPr>
            <w:r>
              <w:rPr>
                <w:rFonts w:ascii="Calibri" w:cs="Calibri" w:eastAsia="Calibri" w:hAnsi="Calibri"/>
                <w:b/>
                <w:bCs/>
                <w:color w:val="FFFFFF"/>
                <w:sz w:val="20"/>
                <w:szCs w:val="20"/>
              </w:rPr>
              <w:t xml:space="preserve">Region</w:t>
            </w:r>
          </w:p>
        </w:tc>
        <w:tc>
          <w:tcPr>
            <w:tcW w:type="dxa" w:w="1700"/>
            <w:shd w:fill="1F3864" w:color="1F3864" w:val="solid"/>
          </w:tcPr>
          <w:p>
            <w:pPr>
              <w:spacing w:after="60" w:before="60"/>
              <w:jc w:val="left"/>
            </w:pPr>
            <w:r>
              <w:rPr>
                <w:rFonts w:ascii="Calibri" w:cs="Calibri" w:eastAsia="Calibri" w:hAnsi="Calibri"/>
                <w:b/>
                <w:bCs/>
                <w:color w:val="FFFFFF"/>
                <w:sz w:val="20"/>
                <w:szCs w:val="20"/>
              </w:rPr>
              <w:t xml:space="preserve">Sub-€500K EBITDA</w:t>
            </w:r>
          </w:p>
        </w:tc>
        <w:tc>
          <w:tcPr>
            <w:tcW w:type="dxa" w:w="1600"/>
            <w:shd w:fill="1F3864" w:color="1F3864" w:val="solid"/>
          </w:tcPr>
          <w:p>
            <w:pPr>
              <w:spacing w:after="60" w:before="60"/>
              <w:jc w:val="left"/>
            </w:pPr>
            <w:r>
              <w:rPr>
                <w:rFonts w:ascii="Calibri" w:cs="Calibri" w:eastAsia="Calibri" w:hAnsi="Calibri"/>
                <w:b/>
                <w:bCs/>
                <w:color w:val="FFFFFF"/>
                <w:sz w:val="20"/>
                <w:szCs w:val="20"/>
              </w:rPr>
              <w:t xml:space="preserve">€500K–2M EBITDA</w:t>
            </w:r>
          </w:p>
        </w:tc>
        <w:tc>
          <w:tcPr>
            <w:tcW w:type="dxa" w:w="1500"/>
            <w:shd w:fill="1F3864" w:color="1F3864" w:val="solid"/>
          </w:tcPr>
          <w:p>
            <w:pPr>
              <w:spacing w:after="60" w:before="60"/>
              <w:jc w:val="left"/>
            </w:pPr>
            <w:r>
              <w:rPr>
                <w:rFonts w:ascii="Calibri" w:cs="Calibri" w:eastAsia="Calibri" w:hAnsi="Calibri"/>
                <w:b/>
                <w:bCs/>
                <w:color w:val="FFFFFF"/>
                <w:sz w:val="20"/>
                <w:szCs w:val="20"/>
              </w:rPr>
              <w:t xml:space="preserve">€2–5M EBITDA</w:t>
            </w:r>
          </w:p>
        </w:tc>
        <w:tc>
          <w:tcPr>
            <w:tcW w:type="dxa" w:w="1500"/>
            <w:shd w:fill="1F3864" w:color="1F3864" w:val="solid"/>
          </w:tcPr>
          <w:p>
            <w:pPr>
              <w:spacing w:after="60" w:before="60"/>
              <w:jc w:val="left"/>
            </w:pPr>
            <w:r>
              <w:rPr>
                <w:rFonts w:ascii="Calibri" w:cs="Calibri" w:eastAsia="Calibri" w:hAnsi="Calibri"/>
                <w:b/>
                <w:bCs/>
                <w:color w:val="FFFFFF"/>
                <w:sz w:val="20"/>
                <w:szCs w:val="20"/>
              </w:rPr>
              <w:t xml:space="preserve">Platform &gt;€5M</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Italy</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3.5–5.5x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5.5–7.5x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7–9x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9–12x</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Spain</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3.5–5x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5–7x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6.5–8.5x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8–10x</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Portugal</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3–5x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5–6.5x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6–8x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Greece</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3–4.5x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4.5–6x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5.5–7x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Poland</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4–6x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6–8x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7–9x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8–11x</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Romania</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3.5–5.5x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5.5–7x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6.5–8.5x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8–10x</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Czech R.</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4–6x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6–7.5x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7–9x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w:t>
            </w:r>
          </w:p>
        </w:tc>
      </w:tr>
      <w:tr>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Hungary</w:t>
            </w:r>
          </w:p>
        </w:tc>
        <w:tc>
          <w:tcPr>
            <w:tcW w:type="dxa" w:w="1700"/>
            <w:shd w:fill="F2F2F2" w:color="F2F2F2" w:val="solid"/>
          </w:tcPr>
          <w:p>
            <w:pPr>
              <w:spacing w:after="60" w:before="60"/>
              <w:jc w:val="left"/>
            </w:pPr>
            <w:r>
              <w:rPr>
                <w:rFonts w:ascii="Calibri" w:cs="Calibri" w:eastAsia="Calibri" w:hAnsi="Calibri"/>
                <w:b w:val="false"/>
                <w:bCs w:val="false"/>
                <w:sz w:val="20"/>
                <w:szCs w:val="20"/>
              </w:rPr>
              <w:t xml:space="preserve">4–6x</w:t>
            </w:r>
          </w:p>
        </w:tc>
        <w:tc>
          <w:tcPr>
            <w:tcW w:type="dxa" w:w="1600"/>
            <w:shd w:fill="FFFFFF" w:color="FFFFFF" w:val="solid"/>
          </w:tcPr>
          <w:p>
            <w:pPr>
              <w:spacing w:after="60" w:before="60"/>
              <w:jc w:val="left"/>
            </w:pPr>
            <w:r>
              <w:rPr>
                <w:rFonts w:ascii="Calibri" w:cs="Calibri" w:eastAsia="Calibri" w:hAnsi="Calibri"/>
                <w:b w:val="false"/>
                <w:bCs w:val="false"/>
                <w:sz w:val="20"/>
                <w:szCs w:val="20"/>
              </w:rPr>
              <w:t xml:space="preserve">5.5–7x</w:t>
            </w:r>
          </w:p>
        </w:tc>
        <w:tc>
          <w:tcPr>
            <w:tcW w:type="dxa" w:w="1500"/>
            <w:shd w:fill="F2F2F2" w:color="F2F2F2" w:val="solid"/>
          </w:tcPr>
          <w:p>
            <w:pPr>
              <w:spacing w:after="60" w:before="60"/>
              <w:jc w:val="left"/>
            </w:pPr>
            <w:r>
              <w:rPr>
                <w:rFonts w:ascii="Calibri" w:cs="Calibri" w:eastAsia="Calibri" w:hAnsi="Calibri"/>
                <w:b w:val="false"/>
                <w:bCs w:val="false"/>
                <w:sz w:val="20"/>
                <w:szCs w:val="20"/>
              </w:rPr>
              <w:t xml:space="preserve">6.5–8x</w:t>
            </w:r>
          </w:p>
        </w:tc>
        <w:tc>
          <w:tcPr>
            <w:tcW w:type="dxa" w:w="1500"/>
            <w:shd w:fill="FFFFFF" w:color="FFFFFF" w:val="solid"/>
          </w:tcPr>
          <w:p>
            <w:pPr>
              <w:spacing w:after="60" w:before="60"/>
              <w:jc w:val="left"/>
            </w:pPr>
            <w:r>
              <w:rPr>
                <w:rFonts w:ascii="Calibri" w:cs="Calibri" w:eastAsia="Calibri" w:hAnsi="Calibri"/>
                <w:b w:val="false"/>
                <w:bCs w:val="false"/>
                <w:sz w:val="20"/>
                <w:szCs w:val="20"/>
              </w:rPr>
              <w:t xml:space="preserve">—</w:t>
            </w:r>
          </w:p>
        </w:tc>
      </w:tr>
    </w:tbl>
    <w:p>
      <w:pPr>
        <w:spacing w:after="120" w:line="300"/>
        <w:jc w:val="both"/>
      </w:pPr>
      <w:r>
        <w:rPr>
          <w:rFonts w:ascii="Calibri" w:cs="Calibri" w:eastAsia="Calibri" w:hAnsi="Calibri"/>
          <w:b w:val="false"/>
          <w:bCs w:val="false"/>
          <w:i w:val="false"/>
          <w:iCs w:val="false"/>
          <w:sz w:val="22"/>
          <w:szCs w:val="22"/>
        </w:rPr>
        <w:t xml:space="preserve"> </w:t>
      </w:r>
    </w:p>
    <w:p>
      <w:pPr>
        <w:spacing w:after="120" w:line="300"/>
        <w:jc w:val="both"/>
      </w:pPr>
      <w:r>
        <w:rPr>
          <w:rFonts w:ascii="Calibri" w:cs="Calibri" w:eastAsia="Calibri" w:hAnsi="Calibri"/>
          <w:b w:val="false"/>
          <w:bCs w:val="false"/>
          <w:i w:val="false"/>
          <w:iCs w:val="false"/>
          <w:sz w:val="22"/>
          <w:szCs w:val="22"/>
        </w:rPr>
        <w:t xml:space="preserve">Source synthesis: CEE median EV/EBITDA 6.7x vs 9.4x EU ex-CEE (Aventis Advisors, Dealsuite); accounting practice multiples 4–8x for internal transitions, 4–12x external (Poe Group Advisors, Sofer Advisors, Firmlever); platform-quality firms &gt;€5M revenue command upper range (Madras Accountancy, CT Acquisitions). Italy/Spain platform multiples reflect documented general European business-services data (RL Hulett Q2 2025: Bridgepoint–Argon &amp; Co at 20–23x is a platform-deal benchmark, not bolt-on).</w:t>
      </w:r>
    </w:p>
    <w:p>
      <w:pPr>
        <w:pStyle w:val="Heading2"/>
        <w:spacing w:after="160" w:before="280"/>
      </w:pPr>
      <w:r>
        <w:rPr>
          <w:rFonts w:ascii="Calibri" w:cs="Calibri" w:eastAsia="Calibri" w:hAnsi="Calibri"/>
          <w:b/>
          <w:bCs/>
          <w:color w:val="2E5395"/>
          <w:sz w:val="26"/>
          <w:szCs w:val="26"/>
        </w:rPr>
        <w:t xml:space="preserve">Typical deal structure</w:t>
      </w:r>
    </w:p>
    <w:p>
      <w:pPr>
        <w:pStyle w:val="ListParagraph"/>
        <w:numPr>
          <w:ilvl w:val="0"/>
          <w:numId w:val="1"/>
        </w:numPr>
        <w:spacing w:after="80" w:line="280"/>
      </w:pPr>
      <w:r>
        <w:rPr>
          <w:rFonts w:ascii="Calibri" w:cs="Calibri" w:eastAsia="Calibri" w:hAnsi="Calibri"/>
          <w:sz w:val="22"/>
          <w:szCs w:val="22"/>
        </w:rPr>
        <w:t xml:space="preserve">Cash at close: 55–70% of EV.</w:t>
      </w:r>
    </w:p>
    <w:p>
      <w:pPr>
        <w:pStyle w:val="ListParagraph"/>
        <w:numPr>
          <w:ilvl w:val="0"/>
          <w:numId w:val="1"/>
        </w:numPr>
        <w:spacing w:after="80" w:line="280"/>
      </w:pPr>
      <w:r>
        <w:rPr>
          <w:rFonts w:ascii="Calibri" w:cs="Calibri" w:eastAsia="Calibri" w:hAnsi="Calibri"/>
          <w:sz w:val="22"/>
          <w:szCs w:val="22"/>
        </w:rPr>
        <w:t xml:space="preserve">Rollover equity: 20–35% (paid in HoldCo shares), 5-year vesting with bad-leaver protection.</w:t>
      </w:r>
    </w:p>
    <w:p>
      <w:pPr>
        <w:pStyle w:val="ListParagraph"/>
        <w:numPr>
          <w:ilvl w:val="0"/>
          <w:numId w:val="1"/>
        </w:numPr>
        <w:spacing w:after="80" w:line="280"/>
      </w:pPr>
      <w:r>
        <w:rPr>
          <w:rFonts w:ascii="Calibri" w:cs="Calibri" w:eastAsia="Calibri" w:hAnsi="Calibri"/>
          <w:sz w:val="22"/>
          <w:szCs w:val="22"/>
        </w:rPr>
        <w:t xml:space="preserve">Earnout: 10–20%, 24 months, tied to client retention (typically 85% LTM threshold) + EBITDA targets.</w:t>
      </w:r>
    </w:p>
    <w:p>
      <w:pPr>
        <w:pStyle w:val="ListParagraph"/>
        <w:numPr>
          <w:ilvl w:val="0"/>
          <w:numId w:val="1"/>
        </w:numPr>
        <w:spacing w:after="80" w:line="280"/>
      </w:pPr>
      <w:r>
        <w:rPr>
          <w:rFonts w:ascii="Calibri" w:cs="Calibri" w:eastAsia="Calibri" w:hAnsi="Calibri"/>
          <w:sz w:val="22"/>
          <w:szCs w:val="22"/>
        </w:rPr>
        <w:t xml:space="preserve">Working capital target: peg locked-box at 12-month average; any excess released to seller; deficit deducted (Spain favors locked-box per Chambers PE 2025).</w:t>
      </w:r>
    </w:p>
    <w:p>
      <w:pPr>
        <w:pStyle w:val="ListParagraph"/>
        <w:numPr>
          <w:ilvl w:val="0"/>
          <w:numId w:val="1"/>
        </w:numPr>
        <w:spacing w:after="80" w:line="280"/>
      </w:pPr>
      <w:r>
        <w:rPr>
          <w:rFonts w:ascii="Calibri" w:cs="Calibri" w:eastAsia="Calibri" w:hAnsi="Calibri"/>
          <w:sz w:val="22"/>
          <w:szCs w:val="22"/>
        </w:rPr>
        <w:t xml:space="preserve">Reps &amp; warranties: 18-month survival period; tax R&amp;W up to 5 years; client-list R&amp;W critical.</w:t>
      </w:r>
    </w:p>
    <w:p>
      <w:pPr>
        <w:pStyle w:val="ListParagraph"/>
        <w:numPr>
          <w:ilvl w:val="0"/>
          <w:numId w:val="1"/>
        </w:numPr>
        <w:spacing w:after="80" w:line="280"/>
      </w:pPr>
      <w:r>
        <w:rPr>
          <w:rFonts w:ascii="Calibri" w:cs="Calibri" w:eastAsia="Calibri" w:hAnsi="Calibri"/>
          <w:sz w:val="22"/>
          <w:szCs w:val="22"/>
        </w:rPr>
        <w:t xml:space="preserve">Non-compete: 24–36 months; non-solicit (clients + staff): 24 months.</w:t>
      </w:r>
    </w:p>
    <w:p>
      <w:pPr>
        <w:pStyle w:val="ListParagraph"/>
        <w:numPr>
          <w:ilvl w:val="0"/>
          <w:numId w:val="1"/>
        </w:numPr>
        <w:spacing w:after="80" w:line="280"/>
      </w:pPr>
      <w:r>
        <w:rPr>
          <w:rFonts w:ascii="Calibri" w:cs="Calibri" w:eastAsia="Calibri" w:hAnsi="Calibri"/>
          <w:sz w:val="22"/>
          <w:szCs w:val="22"/>
        </w:rPr>
        <w:t xml:space="preserve">Transition: 24-month seller employment with documented client-handover milestones.</w:t>
      </w:r>
    </w:p>
    <w:p>
      <w:pPr>
        <w:pStyle w:val="Heading2"/>
        <w:spacing w:after="160" w:before="280"/>
      </w:pPr>
      <w:r>
        <w:rPr>
          <w:rFonts w:ascii="Calibri" w:cs="Calibri" w:eastAsia="Calibri" w:hAnsi="Calibri"/>
          <w:b/>
          <w:bCs/>
          <w:color w:val="2E5395"/>
          <w:sz w:val="26"/>
          <w:szCs w:val="26"/>
        </w:rPr>
        <w:t xml:space="preserve">Funding stack for €30–40M Italian platform</w:t>
      </w:r>
    </w:p>
    <w:p>
      <w:pPr>
        <w:pStyle w:val="ListParagraph"/>
        <w:numPr>
          <w:ilvl w:val="0"/>
          <w:numId w:val="1"/>
        </w:numPr>
        <w:spacing w:after="80" w:line="280"/>
      </w:pPr>
      <w:r>
        <w:rPr>
          <w:rFonts w:ascii="Calibri" w:cs="Calibri" w:eastAsia="Calibri" w:hAnsi="Calibri"/>
          <w:sz w:val="22"/>
          <w:szCs w:val="22"/>
        </w:rPr>
        <w:t xml:space="preserve">Equity: €20–25M from operator + LP investors.</w:t>
      </w:r>
    </w:p>
    <w:p>
      <w:pPr>
        <w:pStyle w:val="ListParagraph"/>
        <w:numPr>
          <w:ilvl w:val="0"/>
          <w:numId w:val="1"/>
        </w:numPr>
        <w:spacing w:after="80" w:line="280"/>
      </w:pPr>
      <w:r>
        <w:rPr>
          <w:rFonts w:ascii="Calibri" w:cs="Calibri" w:eastAsia="Calibri" w:hAnsi="Calibri"/>
          <w:sz w:val="22"/>
          <w:szCs w:val="22"/>
        </w:rPr>
        <w:t xml:space="preserve">Senior debt: €8–12M (3–4x EBITDA of anchor) — local bank or European mid-market debt fund.</w:t>
      </w:r>
    </w:p>
    <w:p>
      <w:pPr>
        <w:pStyle w:val="ListParagraph"/>
        <w:numPr>
          <w:ilvl w:val="0"/>
          <w:numId w:val="1"/>
        </w:numPr>
        <w:spacing w:after="80" w:line="280"/>
      </w:pPr>
      <w:r>
        <w:rPr>
          <w:rFonts w:ascii="Calibri" w:cs="Calibri" w:eastAsia="Calibri" w:hAnsi="Calibri"/>
          <w:sz w:val="22"/>
          <w:szCs w:val="22"/>
        </w:rPr>
        <w:t xml:space="preserve">Vendor finance: €3–5M (deferred consideration on closed acquisitions).</w:t>
      </w:r>
    </w:p>
    <w:p>
      <w:pPr>
        <w:pStyle w:val="ListParagraph"/>
        <w:numPr>
          <w:ilvl w:val="0"/>
          <w:numId w:val="1"/>
        </w:numPr>
        <w:spacing w:after="80" w:line="280"/>
      </w:pPr>
      <w:r>
        <w:rPr>
          <w:rFonts w:ascii="Calibri" w:cs="Calibri" w:eastAsia="Calibri" w:hAnsi="Calibri"/>
          <w:sz w:val="22"/>
          <w:szCs w:val="22"/>
        </w:rPr>
        <w:t xml:space="preserve">Total firepower: ~€35–45M deployed across anchor + 4–6 bolt-ons.</w:t>
      </w:r>
    </w:p>
    <w:p>
      <w:pPr>
        <w:pStyle w:val="Heading1"/>
        <w:spacing w:after="200" w:before="360"/>
      </w:pPr>
      <w:r>
        <w:rPr>
          <w:rFonts w:ascii="Calibri" w:cs="Calibri" w:eastAsia="Calibri" w:hAnsi="Calibri"/>
          <w:b/>
          <w:bCs/>
          <w:color w:val="1F3864"/>
          <w:sz w:val="32"/>
          <w:szCs w:val="32"/>
        </w:rPr>
        <w:t xml:space="preserve">Part VI — Contradictions</w:t>
      </w:r>
    </w:p>
    <w:p>
      <w:pPr>
        <w:pStyle w:val="Heading3"/>
        <w:spacing w:after="120" w:before="220"/>
      </w:pPr>
      <w:r>
        <w:rPr>
          <w:rFonts w:ascii="Calibri" w:cs="Calibri" w:eastAsia="Calibri" w:hAnsi="Calibri"/>
          <w:b/>
          <w:bCs/>
          <w:color w:val="2E5395"/>
          <w:sz w:val="23"/>
          <w:szCs w:val="23"/>
        </w:rPr>
        <w:t xml:space="preserve">Contradiction 1 — Does CEE labor arbitrage still work?</w:t>
      </w:r>
    </w:p>
    <w:p>
      <w:pPr>
        <w:spacing w:after="120" w:line="300"/>
        <w:jc w:val="both"/>
      </w:pPr>
      <w:r>
        <w:rPr>
          <w:rFonts w:ascii="Calibri" w:cs="Calibri" w:eastAsia="Calibri" w:hAnsi="Calibri"/>
          <w:b w:val="false"/>
          <w:bCs w:val="false"/>
          <w:i w:val="false"/>
          <w:iCs w:val="false"/>
          <w:sz w:val="22"/>
          <w:szCs w:val="22"/>
        </w:rPr>
        <w:t xml:space="preserve">POSITION A [MED]: CEE remains 40% below Western Europe in labor cost (Eurofound), structural advantage is durable. POSITION B [MED]: wage inflation in CEE 12–18% YoY in 2023–2025, especially Poland and Romania, half-life of the arbitrage is now 5–7 years rather than the 10–15 years it had in 2015. ASSESSMENT: both true; the arbitrage exists but the runway is shorter than in prior decades. Implication: a nearshore captive built today should plan for cost convergence by 2031–2033 — meaning the exit window matters. UNRESOLVED for now.</w:t>
      </w:r>
    </w:p>
    <w:p>
      <w:pPr>
        <w:pStyle w:val="Heading3"/>
        <w:spacing w:after="120" w:before="220"/>
      </w:pPr>
      <w:r>
        <w:rPr>
          <w:rFonts w:ascii="Calibri" w:cs="Calibri" w:eastAsia="Calibri" w:hAnsi="Calibri"/>
          <w:b/>
          <w:bCs/>
          <w:color w:val="2E5395"/>
          <w:sz w:val="23"/>
          <w:szCs w:val="23"/>
        </w:rPr>
        <w:t xml:space="preserve">Contradiction 2 — Is Italy's STP regime truly PE-friendly?</w:t>
      </w:r>
    </w:p>
    <w:p>
      <w:pPr>
        <w:spacing w:after="120" w:line="300"/>
        <w:jc w:val="both"/>
      </w:pPr>
      <w:r>
        <w:rPr>
          <w:rFonts w:ascii="Calibri" w:cs="Calibri" w:eastAsia="Calibri" w:hAnsi="Calibri"/>
          <w:b w:val="false"/>
          <w:bCs w:val="false"/>
          <w:i w:val="false"/>
          <w:iCs w:val="false"/>
          <w:sz w:val="22"/>
          <w:szCs w:val="22"/>
        </w:rPr>
        <w:t xml:space="preserve">POSITION A [HIGH]: STP regime explicitly allows non-professional shareholders up to 1/3 and corporate vehicles (SRL-STP), enabling PE roll-up structures. POSITION B [MED]: ODCEC rules at the firm-name and signing-partner level still require licensed professionals; some local ODCECs interpret governance rules more strictly than others. ASSESSMENT: STP is the cleanest path in SEE, but local execution requires Italian counsel and ODCEC-specific dialogue per region. Workaround pattern: structure as SRL-STP with a holding company; keep audit and signing-partner roles inside a partner-owned vehicle linked by ASA. PARTIALLY RESOLVED — the regime works but the implementation is execution-sensitive.</w:t>
      </w:r>
    </w:p>
    <w:p>
      <w:pPr>
        <w:pStyle w:val="Heading3"/>
        <w:spacing w:after="120" w:before="220"/>
      </w:pPr>
      <w:r>
        <w:rPr>
          <w:rFonts w:ascii="Calibri" w:cs="Calibri" w:eastAsia="Calibri" w:hAnsi="Calibri"/>
          <w:b/>
          <w:bCs/>
          <w:color w:val="2E5395"/>
          <w:sz w:val="23"/>
          <w:szCs w:val="23"/>
        </w:rPr>
        <w:t xml:space="preserve">Contradiction 3 — Multiples for the accounting sector: realistic or hyped?</w:t>
      </w:r>
    </w:p>
    <w:p>
      <w:pPr>
        <w:spacing w:after="120" w:line="300"/>
        <w:jc w:val="both"/>
      </w:pPr>
      <w:r>
        <w:rPr>
          <w:rFonts w:ascii="Calibri" w:cs="Calibri" w:eastAsia="Calibri" w:hAnsi="Calibri"/>
          <w:b w:val="false"/>
          <w:bCs w:val="false"/>
          <w:i w:val="false"/>
          <w:iCs w:val="false"/>
          <w:sz w:val="22"/>
          <w:szCs w:val="22"/>
        </w:rPr>
        <w:t xml:space="preserve">POSITION A [HIGH]: Average sub-€500K EBITDA practices sell at 3.5–5.5x; nothing structurally has changed. POSITION B [MED]: PE-backed roll-up platforms have paid 9–12x EBITDA for platform-quality firms, leading to multiple-arbitrage on bolt-ons. POSITION C [MED-LOW]: The Finance Story (2025) flags 'reality check' — multiples are now too high for several PE-backed accounting roll-ups, and returns are disappointing. ASSESSMENT: all true at different scale-tiers; the multiple arbitrage works at the platform level (buy small at 4x, exit big at 9x) but the gap is narrowing as more capital arrives. UNRESOLVED whether the arbitrage will compress further before operator's exit window.</w:t>
      </w:r>
    </w:p>
    <w:p>
      <w:pPr>
        <w:pStyle w:val="Heading3"/>
        <w:spacing w:after="120" w:before="220"/>
      </w:pPr>
      <w:r>
        <w:rPr>
          <w:rFonts w:ascii="Calibri" w:cs="Calibri" w:eastAsia="Calibri" w:hAnsi="Calibri"/>
          <w:b/>
          <w:bCs/>
          <w:color w:val="2E5395"/>
          <w:sz w:val="23"/>
          <w:szCs w:val="23"/>
        </w:rPr>
        <w:t xml:space="preserve">Contradiction 4 — Should an operator build a single-country platform or a CEE+SEE federation?</w:t>
      </w:r>
    </w:p>
    <w:p>
      <w:pPr>
        <w:spacing w:after="120" w:line="300"/>
        <w:jc w:val="both"/>
      </w:pPr>
      <w:r>
        <w:rPr>
          <w:rFonts w:ascii="Calibri" w:cs="Calibri" w:eastAsia="Calibri" w:hAnsi="Calibri"/>
          <w:b w:val="false"/>
          <w:bCs w:val="false"/>
          <w:i w:val="false"/>
          <w:iCs w:val="false"/>
          <w:sz w:val="22"/>
          <w:szCs w:val="22"/>
        </w:rPr>
        <w:t xml:space="preserve">POSITION A [HIGH]: Single-country is the disciplined choice — regulatory cohesion, talent pool consistency, integration cost is bounded. POSITION B [MED]: A federation captures both arbitrage axes (regulatory in CEE, fragmentation in SEE) and is more attractive at exit to an international strategic. ASSESSMENT: federation is a Year-5+ story, not a Year-1 architecture. Build single-country first, then federate. UNRESOLVED for advanced operators but RESOLVED for first-time platform builders.</w:t>
      </w:r>
    </w:p>
    <w:p>
      <w:pPr>
        <w:pStyle w:val="Heading1"/>
        <w:spacing w:after="200" w:before="360"/>
      </w:pPr>
      <w:r>
        <w:rPr>
          <w:rFonts w:ascii="Calibri" w:cs="Calibri" w:eastAsia="Calibri" w:hAnsi="Calibri"/>
          <w:b/>
          <w:bCs/>
          <w:color w:val="1F3864"/>
          <w:sz w:val="32"/>
          <w:szCs w:val="32"/>
        </w:rPr>
        <w:t xml:space="preserve">Part VII — What we don't know yet</w:t>
      </w:r>
    </w:p>
    <w:p>
      <w:pPr>
        <w:spacing w:after="120" w:line="300"/>
        <w:jc w:val="both"/>
      </w:pPr>
      <w:r>
        <w:rPr>
          <w:rFonts w:ascii="Calibri" w:cs="Calibri" w:eastAsia="Calibri" w:hAnsi="Calibri"/>
          <w:b w:val="false"/>
          <w:bCs w:val="false"/>
          <w:i w:val="false"/>
          <w:iCs w:val="false"/>
          <w:sz w:val="22"/>
          <w:szCs w:val="22"/>
        </w:rPr>
        <w:t xml:space="preserve">Honest disclosure of gaps (consistent with deep-research discipline):</w:t>
      </w:r>
    </w:p>
    <w:p>
      <w:pPr>
        <w:pStyle w:val="ListParagraph"/>
        <w:numPr>
          <w:ilvl w:val="0"/>
          <w:numId w:val="1"/>
        </w:numPr>
        <w:spacing w:after="80" w:line="280"/>
      </w:pPr>
      <w:r>
        <w:rPr>
          <w:rFonts w:ascii="Calibri" w:cs="Calibri" w:eastAsia="Calibri" w:hAnsi="Calibri"/>
          <w:sz w:val="22"/>
          <w:szCs w:val="22"/>
        </w:rPr>
        <w:t xml:space="preserve">Deal-by-deal multiple data for sub-€2M EBITDA accounting transactions in Italy, Spain, and Poland is not publicly reported. Estimates above rely on industry advisor commentary and CEE general M&amp;A medians.</w:t>
      </w:r>
    </w:p>
    <w:p>
      <w:pPr>
        <w:pStyle w:val="ListParagraph"/>
        <w:numPr>
          <w:ilvl w:val="0"/>
          <w:numId w:val="1"/>
        </w:numPr>
        <w:spacing w:after="80" w:line="280"/>
      </w:pPr>
      <w:r>
        <w:rPr>
          <w:rFonts w:ascii="Calibri" w:cs="Calibri" w:eastAsia="Calibri" w:hAnsi="Calibri"/>
          <w:sz w:val="22"/>
          <w:szCs w:val="22"/>
        </w:rPr>
        <w:t xml:space="preserve">Real post-AI unit economics: net margin lift after platform tech-stack investment, partner attrition costs, and client churn is not publicly documented at scale. The 'margin expands, multiple doesn't' thesis from the main memo remains the working hypothesis.</w:t>
      </w:r>
    </w:p>
    <w:p>
      <w:pPr>
        <w:pStyle w:val="ListParagraph"/>
        <w:numPr>
          <w:ilvl w:val="0"/>
          <w:numId w:val="1"/>
        </w:numPr>
        <w:spacing w:after="80" w:line="280"/>
      </w:pPr>
      <w:r>
        <w:rPr>
          <w:rFonts w:ascii="Calibri" w:cs="Calibri" w:eastAsia="Calibri" w:hAnsi="Calibri"/>
          <w:sz w:val="22"/>
          <w:szCs w:val="22"/>
        </w:rPr>
        <w:t xml:space="preserve">Italian ODCEC regional variation: how aggressively each regional ODCEC scrutinizes non-professional ownership in STP firms is not well-documented and may differ materially region to region.</w:t>
      </w:r>
    </w:p>
    <w:p>
      <w:pPr>
        <w:pStyle w:val="ListParagraph"/>
        <w:numPr>
          <w:ilvl w:val="0"/>
          <w:numId w:val="1"/>
        </w:numPr>
        <w:spacing w:after="80" w:line="280"/>
      </w:pPr>
      <w:r>
        <w:rPr>
          <w:rFonts w:ascii="Calibri" w:cs="Calibri" w:eastAsia="Calibri" w:hAnsi="Calibri"/>
          <w:sz w:val="22"/>
          <w:szCs w:val="22"/>
        </w:rPr>
        <w:t xml:space="preserve">Polish KSeF post-mandate market impact: what % of micro / small firms will actually be forced to sell vs simply consolidate organically — too early to measure (mandate is still 9–11 months out).</w:t>
      </w:r>
    </w:p>
    <w:p>
      <w:pPr>
        <w:pStyle w:val="ListParagraph"/>
        <w:numPr>
          <w:ilvl w:val="0"/>
          <w:numId w:val="1"/>
        </w:numPr>
        <w:spacing w:after="80" w:line="280"/>
      </w:pPr>
      <w:r>
        <w:rPr>
          <w:rFonts w:ascii="Calibri" w:cs="Calibri" w:eastAsia="Calibri" w:hAnsi="Calibri"/>
          <w:sz w:val="22"/>
          <w:szCs w:val="22"/>
        </w:rPr>
        <w:t xml:space="preserve">Romanian wage trajectory: at current 12–18% YoY, when does cost arbitrage collapse? Need quarterly tracking.</w:t>
      </w:r>
    </w:p>
    <w:p>
      <w:pPr>
        <w:pStyle w:val="ListParagraph"/>
        <w:numPr>
          <w:ilvl w:val="0"/>
          <w:numId w:val="1"/>
        </w:numPr>
        <w:spacing w:after="80" w:line="280"/>
      </w:pPr>
      <w:r>
        <w:rPr>
          <w:rFonts w:ascii="Calibri" w:cs="Calibri" w:eastAsia="Calibri" w:hAnsi="Calibri"/>
          <w:sz w:val="22"/>
          <w:szCs w:val="22"/>
        </w:rPr>
        <w:t xml:space="preserve">Spanish regional variation: precise multiples and consolidation pace in Madrid vs Barcelona vs Valencia vs Andalusia is not publicly documented.</w:t>
      </w:r>
    </w:p>
    <w:p>
      <w:pPr>
        <w:pStyle w:val="ListParagraph"/>
        <w:numPr>
          <w:ilvl w:val="0"/>
          <w:numId w:val="1"/>
        </w:numPr>
        <w:spacing w:after="80" w:line="280"/>
      </w:pPr>
      <w:r>
        <w:rPr>
          <w:rFonts w:ascii="Calibri" w:cs="Calibri" w:eastAsia="Calibri" w:hAnsi="Calibri"/>
          <w:sz w:val="22"/>
          <w:szCs w:val="22"/>
        </w:rPr>
        <w:t xml:space="preserve">Greek certification system constraint: how do A/B/C/D Λογιστής levels actually constrain a foreign-owned platform's ability to grow vs locally-owned competitors? Requires local counsel.</w:t>
      </w:r>
    </w:p>
    <w:p>
      <w:pPr>
        <w:pStyle w:val="ListParagraph"/>
        <w:numPr>
          <w:ilvl w:val="0"/>
          <w:numId w:val="1"/>
        </w:numPr>
        <w:spacing w:after="80" w:line="280"/>
      </w:pPr>
      <w:r>
        <w:rPr>
          <w:rFonts w:ascii="Calibri" w:cs="Calibri" w:eastAsia="Calibri" w:hAnsi="Calibri"/>
          <w:sz w:val="22"/>
          <w:szCs w:val="22"/>
        </w:rPr>
        <w:t xml:space="preserve">Exit landscape for SEE accounting platforms: very few completed exits in the €100–300M EV range provide pricing data. Italy/Spain platform exits in 2027–2030 will be the data we need.</w:t>
      </w:r>
    </w:p>
    <w:p>
      <w:pPr>
        <w:pStyle w:val="ListParagraph"/>
        <w:numPr>
          <w:ilvl w:val="0"/>
          <w:numId w:val="1"/>
        </w:numPr>
        <w:spacing w:after="80" w:line="280"/>
      </w:pPr>
      <w:r>
        <w:rPr>
          <w:rFonts w:ascii="Calibri" w:cs="Calibri" w:eastAsia="Calibri" w:hAnsi="Calibri"/>
          <w:sz w:val="22"/>
          <w:szCs w:val="22"/>
        </w:rPr>
        <w:t xml:space="preserve">Partner attrition rates 24–36 months post-acquisition: Western European data shows 25–45% partner exit in PE-rolled-up firms (cf. UK Top 50); SEE/CEE data not yet available.</w:t>
      </w:r>
    </w:p>
    <w:p>
      <w:pPr>
        <w:pStyle w:val="Heading1"/>
        <w:spacing w:after="200" w:before="360"/>
      </w:pPr>
      <w:r>
        <w:rPr>
          <w:rFonts w:ascii="Calibri" w:cs="Calibri" w:eastAsia="Calibri" w:hAnsi="Calibri"/>
          <w:b/>
          <w:bCs/>
          <w:color w:val="1F3864"/>
          <w:sz w:val="32"/>
          <w:szCs w:val="32"/>
        </w:rPr>
        <w:t xml:space="preserve">Part VIII — Recommendation summary</w:t>
      </w:r>
    </w:p>
    <w:p>
      <w:pPr>
        <w:spacing w:after="120" w:line="300"/>
        <w:jc w:val="both"/>
      </w:pPr>
      <w:r>
        <w:rPr>
          <w:rFonts w:ascii="Calibri" w:cs="Calibri" w:eastAsia="Calibri" w:hAnsi="Calibri"/>
          <w:b w:val="false"/>
          <w:bCs w:val="false"/>
          <w:i w:val="false"/>
          <w:iCs w:val="false"/>
          <w:sz w:val="22"/>
          <w:szCs w:val="22"/>
        </w:rPr>
        <w:t xml:space="preserve">Primary recommendation (unchanged from main memo, strengthened by this addendum): Italian SMB platform, Lombardy + Veneto anchor, niche-stack on e-commerce / scale-up SMB + IFRS subsidiary reporting. Equity ticket €30–40M. Build via SRL-STP HoldCo with separate audit vehicle. Anchor deal €1.5–3M EBITDA at 6.5–8x; bolt-on cadence 3–5 deals in 12 months at 4–5.5x. Deploy unified AI tech stack across acquired practices by month 24. Exit Year 5–7 at €120–250M EV depending on EBITDA growth.</w:t>
      </w:r>
    </w:p>
    <w:p>
      <w:pPr>
        <w:spacing w:after="120" w:line="300"/>
        <w:jc w:val="both"/>
      </w:pPr>
      <w:r>
        <w:rPr>
          <w:rFonts w:ascii="Calibri" w:cs="Calibri" w:eastAsia="Calibri" w:hAnsi="Calibri"/>
          <w:b w:val="false"/>
          <w:bCs w:val="false"/>
          <w:i w:val="false"/>
          <w:iCs w:val="false"/>
          <w:sz w:val="22"/>
          <w:szCs w:val="22"/>
        </w:rPr>
        <w:t xml:space="preserve">Alternative if operator has prior CEE operating experience: Poland-Romania twin-hub combining KSeF/e-Factura compliance-driven SMB consolidation with nearshore F&amp;A captive. €20–30M equity. Faster cash flow, harder exit narrative.</w:t>
      </w:r>
    </w:p>
    <w:p>
      <w:pPr>
        <w:spacing w:after="120" w:line="300"/>
        <w:jc w:val="both"/>
      </w:pPr>
      <w:r>
        <w:rPr>
          <w:rFonts w:ascii="Calibri" w:cs="Calibri" w:eastAsia="Calibri" w:hAnsi="Calibri"/>
          <w:b w:val="false"/>
          <w:bCs w:val="false"/>
          <w:i w:val="false"/>
          <w:iCs w:val="false"/>
          <w:sz w:val="22"/>
          <w:szCs w:val="22"/>
        </w:rPr>
        <w:t xml:space="preserve">Common to both: discipline on target profile (the table in Part IV is non-negotiable), 24-month seller transition, rollover 25–40%, 100-day integration playbook from day one of anchor close.</w:t>
      </w:r>
    </w:p>
    <w:p>
      <w:pPr>
        <w:pStyle w:val="Heading1"/>
        <w:spacing w:after="200" w:before="360"/>
      </w:pPr>
      <w:r>
        <w:rPr>
          <w:rFonts w:ascii="Calibri" w:cs="Calibri" w:eastAsia="Calibri" w:hAnsi="Calibri"/>
          <w:b/>
          <w:bCs/>
          <w:color w:val="1F3864"/>
          <w:sz w:val="32"/>
          <w:szCs w:val="32"/>
        </w:rPr>
        <w:t xml:space="preserve">Sources</w:t>
      </w:r>
    </w:p>
    <w:p>
      <w:pPr>
        <w:spacing w:after="120" w:line="300"/>
        <w:jc w:val="both"/>
      </w:pPr>
      <w:r>
        <w:rPr>
          <w:rFonts w:ascii="Calibri" w:cs="Calibri" w:eastAsia="Calibri" w:hAnsi="Calibri"/>
          <w:b w:val="false"/>
          <w:bCs w:val="false"/>
          <w:i w:val="false"/>
          <w:iCs w:val="false"/>
          <w:sz w:val="22"/>
          <w:szCs w:val="22"/>
        </w:rPr>
        <w:t xml:space="preserve">Tier markers: T1 = primary (regulator, official filing, certified industry body). T2 = secondary (major business press, established advisor / professional services firm). T3 = tertiary (industry blog with credentials, single-source trade press).</w:t>
      </w:r>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zgpvqpx-bzqtri1lxrpng">
        <w:r>
          <w:rPr>
            <w:rFonts w:ascii="Calibri" w:cs="Calibri" w:eastAsia="Calibri" w:hAnsi="Calibri"/>
            <w:color w:val="0563C1"/>
            <w:sz w:val="20"/>
            <w:szCs w:val="20"/>
            <w:u w:val="single"/>
          </w:rPr>
          <w:t xml:space="preserve">Chambers and Partners — Private Equity 2025: Italy (Trends &amp; Developments)</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ctjgkyn0qd_6hvtgryaqe">
        <w:r>
          <w:rPr>
            <w:rFonts w:ascii="Calibri" w:cs="Calibri" w:eastAsia="Calibri" w:hAnsi="Calibri"/>
            <w:color w:val="0563C1"/>
            <w:sz w:val="20"/>
            <w:szCs w:val="20"/>
            <w:u w:val="single"/>
          </w:rPr>
          <w:t xml:space="preserve">Chambers and Partners — Corporate M&amp;A 2025: Italy</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zyepqfnawu6ztdyn8lyps">
        <w:r>
          <w:rPr>
            <w:rFonts w:ascii="Calibri" w:cs="Calibri" w:eastAsia="Calibri" w:hAnsi="Calibri"/>
            <w:color w:val="0563C1"/>
            <w:sz w:val="20"/>
            <w:szCs w:val="20"/>
            <w:u w:val="single"/>
          </w:rPr>
          <w:t xml:space="preserve">Chambers and Partners — Private Equity 2025: Spain</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15ujd0jm6tvtugmeeji3k">
        <w:r>
          <w:rPr>
            <w:rFonts w:ascii="Calibri" w:cs="Calibri" w:eastAsia="Calibri" w:hAnsi="Calibri"/>
            <w:color w:val="0563C1"/>
            <w:sz w:val="20"/>
            <w:szCs w:val="20"/>
            <w:u w:val="single"/>
          </w:rPr>
          <w:t xml:space="preserve">Chambers and Partners — Private Equity 2025: Greece</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rlflhq9uqwnpftllwp5kz">
        <w:r>
          <w:rPr>
            <w:rFonts w:ascii="Calibri" w:cs="Calibri" w:eastAsia="Calibri" w:hAnsi="Calibri"/>
            <w:color w:val="0563C1"/>
            <w:sz w:val="20"/>
            <w:szCs w:val="20"/>
            <w:u w:val="single"/>
          </w:rPr>
          <w:t xml:space="preserve">PwC Italy — Economic Impact of Private Equity and Venture Capital</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chzm33zsepwpysrmif2cz">
        <w:r>
          <w:rPr>
            <w:rFonts w:ascii="Calibri" w:cs="Calibri" w:eastAsia="Calibri" w:hAnsi="Calibri"/>
            <w:color w:val="0563C1"/>
            <w:sz w:val="20"/>
            <w:szCs w:val="20"/>
            <w:u w:val="single"/>
          </w:rPr>
          <w:t xml:space="preserve">ION Analytics — Italian M&amp;A in 2025: Growth and consolidation</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8rlignzcahbuoo_54ju5t">
        <w:r>
          <w:rPr>
            <w:rFonts w:ascii="Calibri" w:cs="Calibri" w:eastAsia="Calibri" w:hAnsi="Calibri"/>
            <w:color w:val="0563C1"/>
            <w:sz w:val="20"/>
            <w:szCs w:val="20"/>
            <w:u w:val="single"/>
          </w:rPr>
          <w:t xml:space="preserve">ION Analytics — Spain in the spotlight: Spanish M&amp;A and PE activity HY 2025</w:t>
        </w:r>
      </w:hyperlink>
    </w:p>
    <w:p>
      <w:pPr>
        <w:pStyle w:val="ListParagraph"/>
        <w:numPr>
          <w:ilvl w:val="0"/>
          <w:numId w:val="1"/>
        </w:numPr>
        <w:spacing w:after="60" w:line="280"/>
      </w:pPr>
      <w:r>
        <w:rPr>
          <w:rFonts w:ascii="Calibri" w:cs="Calibri" w:eastAsia="Calibri" w:hAnsi="Calibri"/>
          <w:b/>
          <w:bCs/>
          <w:color w:val="1F3864"/>
          <w:sz w:val="20"/>
          <w:szCs w:val="20"/>
        </w:rPr>
        <w:t xml:space="preserve">[T1] </w:t>
      </w:r>
      <w:hyperlink w:history="1" r:id="rIdujezscyunyglnbvounoch">
        <w:r>
          <w:rPr>
            <w:rFonts w:ascii="Calibri" w:cs="Calibri" w:eastAsia="Calibri" w:hAnsi="Calibri"/>
            <w:color w:val="0563C1"/>
            <w:sz w:val="20"/>
            <w:szCs w:val="20"/>
            <w:u w:val="single"/>
          </w:rPr>
          <w:t xml:space="preserve">Fondazione Nazionale Commercialisti — Disciplina delle società tra professionisti (STP)</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_7_rjuerpb6zyitvgiagp">
        <w:r>
          <w:rPr>
            <w:rFonts w:ascii="Calibri" w:cs="Calibri" w:eastAsia="Calibri" w:hAnsi="Calibri"/>
            <w:color w:val="0563C1"/>
            <w:sz w:val="20"/>
            <w:szCs w:val="20"/>
            <w:u w:val="single"/>
          </w:rPr>
          <w:t xml:space="preserve">Filodiritto — STP: triennio da record per avvocati e commercialisti</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y2pk7oxtflgwl22tcy5um">
        <w:r>
          <w:rPr>
            <w:rFonts w:ascii="Calibri" w:cs="Calibri" w:eastAsia="Calibri" w:hAnsi="Calibri"/>
            <w:color w:val="0563C1"/>
            <w:sz w:val="20"/>
            <w:szCs w:val="20"/>
            <w:u w:val="single"/>
          </w:rPr>
          <w:t xml:space="preserve">International Accounting Bulletin — Tribunal rules in favour of Mazars on disputed BDO merger in Italy</w:t>
        </w:r>
      </w:hyperlink>
    </w:p>
    <w:p>
      <w:pPr>
        <w:pStyle w:val="ListParagraph"/>
        <w:numPr>
          <w:ilvl w:val="0"/>
          <w:numId w:val="1"/>
        </w:numPr>
        <w:spacing w:after="60" w:line="280"/>
      </w:pPr>
      <w:r>
        <w:rPr>
          <w:rFonts w:ascii="Calibri" w:cs="Calibri" w:eastAsia="Calibri" w:hAnsi="Calibri"/>
          <w:b/>
          <w:bCs/>
          <w:color w:val="1F3864"/>
          <w:sz w:val="20"/>
          <w:szCs w:val="20"/>
        </w:rPr>
        <w:t xml:space="preserve">[T1] </w:t>
      </w:r>
      <w:hyperlink w:history="1" r:id="rIdkj3zikpgxikavrxcvi8lv">
        <w:r>
          <w:rPr>
            <w:rFonts w:ascii="Calibri" w:cs="Calibri" w:eastAsia="Calibri" w:hAnsi="Calibri"/>
            <w:color w:val="0563C1"/>
            <w:sz w:val="20"/>
            <w:szCs w:val="20"/>
            <w:u w:val="single"/>
          </w:rPr>
          <w:t xml:space="preserve">Ordem dos Contabilistas Certificados (OCC) Portugal — IFAC member profile</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aouagznxhy5-svk_5cwye">
        <w:r>
          <w:rPr>
            <w:rFonts w:ascii="Calibri" w:cs="Calibri" w:eastAsia="Calibri" w:hAnsi="Calibri"/>
            <w:color w:val="0563C1"/>
            <w:sz w:val="20"/>
            <w:szCs w:val="20"/>
            <w:u w:val="single"/>
          </w:rPr>
          <w:t xml:space="preserve">Aventis Advisors — M&amp;A in Central and Eastern Europe (CEE)</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0pm8dipww_fgqdfw8y3ib">
        <w:r>
          <w:rPr>
            <w:rFonts w:ascii="Calibri" w:cs="Calibri" w:eastAsia="Calibri" w:hAnsi="Calibri"/>
            <w:color w:val="0563C1"/>
            <w:sz w:val="20"/>
            <w:szCs w:val="20"/>
            <w:u w:val="single"/>
          </w:rPr>
          <w:t xml:space="preserve">Dealsuite — CEE M&amp;A Monitor (August 2025)</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m7z3rlygvve49xmuw9xm8">
        <w:r>
          <w:rPr>
            <w:rFonts w:ascii="Calibri" w:cs="Calibri" w:eastAsia="Calibri" w:hAnsi="Calibri"/>
            <w:color w:val="0563C1"/>
            <w:sz w:val="20"/>
            <w:szCs w:val="20"/>
            <w:u w:val="single"/>
          </w:rPr>
          <w:t xml:space="preserve">EY — CEE M&amp;A Barometer 3Q25</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unwzvjsq-y-ntoxh9y3xz">
        <w:r>
          <w:rPr>
            <w:rFonts w:ascii="Calibri" w:cs="Calibri" w:eastAsia="Calibri" w:hAnsi="Calibri"/>
            <w:color w:val="0563C1"/>
            <w:sz w:val="20"/>
            <w:szCs w:val="20"/>
            <w:u w:val="single"/>
          </w:rPr>
          <w:t xml:space="preserve">Wolf Theiss — Private Equity 2025: Poland</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x9ay44a8owf57sflwkftf">
        <w:r>
          <w:rPr>
            <w:rFonts w:ascii="Calibri" w:cs="Calibri" w:eastAsia="Calibri" w:hAnsi="Calibri"/>
            <w:color w:val="0563C1"/>
            <w:sz w:val="20"/>
            <w:szCs w:val="20"/>
            <w:u w:val="single"/>
          </w:rPr>
          <w:t xml:space="preserve">Chambers and Partners — Corporate M&amp;A 2025: Poland (Trends &amp; Developments)</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yhpphkqa_pcbbpdxobh7c">
        <w:r>
          <w:rPr>
            <w:rFonts w:ascii="Calibri" w:cs="Calibri" w:eastAsia="Calibri" w:hAnsi="Calibri"/>
            <w:color w:val="0563C1"/>
            <w:sz w:val="20"/>
            <w:szCs w:val="20"/>
            <w:u w:val="single"/>
          </w:rPr>
          <w:t xml:space="preserve">Sovos — Poland e-invoicing: KSeF, B2B, B2G explained</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ikjihooadi6bcql88vntl">
        <w:r>
          <w:rPr>
            <w:rFonts w:ascii="Calibri" w:cs="Calibri" w:eastAsia="Calibri" w:hAnsi="Calibri"/>
            <w:color w:val="0563C1"/>
            <w:sz w:val="20"/>
            <w:szCs w:val="20"/>
            <w:u w:val="single"/>
          </w:rPr>
          <w:t xml:space="preserve">Avalara — Poland VAT reporting update: mandatory KSeF e-invoicing</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jbxxvd__3l5l4dba39ojt">
        <w:r>
          <w:rPr>
            <w:rFonts w:ascii="Calibri" w:cs="Calibri" w:eastAsia="Calibri" w:hAnsi="Calibri"/>
            <w:color w:val="0563C1"/>
            <w:sz w:val="20"/>
            <w:szCs w:val="20"/>
            <w:u w:val="single"/>
          </w:rPr>
          <w:t xml:space="preserve">EDICOM — Poland implements mandatory B2B electronic invoicing with KSeF from 2026</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x9863hekvhhtmdiplupfk">
        <w:r>
          <w:rPr>
            <w:rFonts w:ascii="Calibri" w:cs="Calibri" w:eastAsia="Calibri" w:hAnsi="Calibri"/>
            <w:color w:val="0563C1"/>
            <w:sz w:val="20"/>
            <w:szCs w:val="20"/>
            <w:u w:val="single"/>
          </w:rPr>
          <w:t xml:space="preserve">Chambers Merger Control 2025 — Czech Republic</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1iq03mrao_ynzivs2lywz">
        <w:r>
          <w:rPr>
            <w:rFonts w:ascii="Calibri" w:cs="Calibri" w:eastAsia="Calibri" w:hAnsi="Calibri"/>
            <w:color w:val="0563C1"/>
            <w:sz w:val="20"/>
            <w:szCs w:val="20"/>
            <w:u w:val="single"/>
          </w:rPr>
          <w:t xml:space="preserve">MGI Worldwide — Poland and Italy: accounting firms balance reform, digital change and consolidation</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utsiej8k4roq1zerodxfa">
        <w:r>
          <w:rPr>
            <w:rFonts w:ascii="Calibri" w:cs="Calibri" w:eastAsia="Calibri" w:hAnsi="Calibri"/>
            <w:color w:val="0563C1"/>
            <w:sz w:val="20"/>
            <w:szCs w:val="20"/>
            <w:u w:val="single"/>
          </w:rPr>
          <w:t xml:space="preserve">CBI — European market potential for finance and accounting services</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_jlyp9lx_48d-b21uvodr">
        <w:r>
          <w:rPr>
            <w:rFonts w:ascii="Calibri" w:cs="Calibri" w:eastAsia="Calibri" w:hAnsi="Calibri"/>
            <w:color w:val="0563C1"/>
            <w:sz w:val="20"/>
            <w:szCs w:val="20"/>
            <w:u w:val="single"/>
          </w:rPr>
          <w:t xml:space="preserve">Mordor Intelligence — Finance &amp; Accounting Outsourcing Market Size &amp; Growth</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e_oi6-uu50erv-vobmjok">
        <w:r>
          <w:rPr>
            <w:rFonts w:ascii="Calibri" w:cs="Calibri" w:eastAsia="Calibri" w:hAnsi="Calibri"/>
            <w:color w:val="0563C1"/>
            <w:sz w:val="20"/>
            <w:szCs w:val="20"/>
            <w:u w:val="single"/>
          </w:rPr>
          <w:t xml:space="preserve">CLFI — M&amp;A EV/EBITDA Multiples 2025: PE vs Corporate by Sector</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lb-96lwpux3eg7hvbtb1i">
        <w:r>
          <w:rPr>
            <w:rFonts w:ascii="Calibri" w:cs="Calibri" w:eastAsia="Calibri" w:hAnsi="Calibri"/>
            <w:color w:val="0563C1"/>
            <w:sz w:val="20"/>
            <w:szCs w:val="20"/>
            <w:u w:val="single"/>
          </w:rPr>
          <w:t xml:space="preserve">CLFI — EBITDA Multiples by Industry UK 2025</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5v5cfkzdauhqz4mikqgwm">
        <w:r>
          <w:rPr>
            <w:rFonts w:ascii="Calibri" w:cs="Calibri" w:eastAsia="Calibri" w:hAnsi="Calibri"/>
            <w:color w:val="0563C1"/>
            <w:sz w:val="20"/>
            <w:szCs w:val="20"/>
            <w:u w:val="single"/>
          </w:rPr>
          <w:t xml:space="preserve">Madras Accountancy — Why Private Equity Firms Buy Accounting Firms (2025 Analysis)</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e4bjdglyzwvxs8pf-u853">
        <w:r>
          <w:rPr>
            <w:rFonts w:ascii="Calibri" w:cs="Calibri" w:eastAsia="Calibri" w:hAnsi="Calibri"/>
            <w:color w:val="0563C1"/>
            <w:sz w:val="20"/>
            <w:szCs w:val="20"/>
            <w:u w:val="single"/>
          </w:rPr>
          <w:t xml:space="preserve">RL Hulett — Business Services M&amp;A Update Q2 2025</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jz4hqdol7avwcphu-3b1o">
        <w:r>
          <w:rPr>
            <w:rFonts w:ascii="Calibri" w:cs="Calibri" w:eastAsia="Calibri" w:hAnsi="Calibri"/>
            <w:color w:val="0563C1"/>
            <w:sz w:val="20"/>
            <w:szCs w:val="20"/>
            <w:u w:val="single"/>
          </w:rPr>
          <w:t xml:space="preserve">CT Acquisitions — PE Roll-Up Strategy 2026 Guide</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5gvoddzgygqslefq85rt2">
        <w:r>
          <w:rPr>
            <w:rFonts w:ascii="Calibri" w:cs="Calibri" w:eastAsia="Calibri" w:hAnsi="Calibri"/>
            <w:color w:val="0563C1"/>
            <w:sz w:val="20"/>
            <w:szCs w:val="20"/>
            <w:u w:val="single"/>
          </w:rPr>
          <w:t xml:space="preserve">Sofer Advisors — How to Value a CPA or Accounting Firm: Beyond the 1x Revenue Rule</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ozwmdhg-vqk7uhmw4gzz4">
        <w:r>
          <w:rPr>
            <w:rFonts w:ascii="Calibri" w:cs="Calibri" w:eastAsia="Calibri" w:hAnsi="Calibri"/>
            <w:color w:val="0563C1"/>
            <w:sz w:val="20"/>
            <w:szCs w:val="20"/>
            <w:u w:val="single"/>
          </w:rPr>
          <w:t xml:space="preserve">Firmlever — How to Value an Accounting Firm: Complete Guide (2025–2026)</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rliq8aisih3v9-isav9ge">
        <w:r>
          <w:rPr>
            <w:rFonts w:ascii="Calibri" w:cs="Calibri" w:eastAsia="Calibri" w:hAnsi="Calibri"/>
            <w:color w:val="0563C1"/>
            <w:sz w:val="20"/>
            <w:szCs w:val="20"/>
            <w:u w:val="single"/>
          </w:rPr>
          <w:t xml:space="preserve">Mole Street — 6 Due Diligence Areas That Determine What Your Accounting Firm Is Worth to PE</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ch77sjbmotatzn-4lv3uf">
        <w:r>
          <w:rPr>
            <w:rFonts w:ascii="Calibri" w:cs="Calibri" w:eastAsia="Calibri" w:hAnsi="Calibri"/>
            <w:color w:val="0563C1"/>
            <w:sz w:val="20"/>
            <w:szCs w:val="20"/>
            <w:u w:val="single"/>
          </w:rPr>
          <w:t xml:space="preserve">Poe Group Advisors — Pricing Accounting Practices on EBITDA</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kmtzb4qzoqaz2zll_e5ak">
        <w:r>
          <w:rPr>
            <w:rFonts w:ascii="Calibri" w:cs="Calibri" w:eastAsia="Calibri" w:hAnsi="Calibri"/>
            <w:color w:val="0563C1"/>
            <w:sz w:val="20"/>
            <w:szCs w:val="20"/>
            <w:u w:val="single"/>
          </w:rPr>
          <w:t xml:space="preserve">Finance Story — PE accounting roll-ups hitting a reality check</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jcuyesitnopljy2frf1dl">
        <w:r>
          <w:rPr>
            <w:rFonts w:ascii="Calibri" w:cs="Calibri" w:eastAsia="Calibri" w:hAnsi="Calibri"/>
            <w:color w:val="0563C1"/>
            <w:sz w:val="20"/>
            <w:szCs w:val="20"/>
            <w:u w:val="single"/>
          </w:rPr>
          <w:t xml:space="preserve">Karbon — M&amp;A Due Diligence Process for Accounting Firms (2026)</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0oweg0snhensnu_uip6fb">
        <w:r>
          <w:rPr>
            <w:rFonts w:ascii="Calibri" w:cs="Calibri" w:eastAsia="Calibri" w:hAnsi="Calibri"/>
            <w:color w:val="0563C1"/>
            <w:sz w:val="20"/>
            <w:szCs w:val="20"/>
            <w:u w:val="single"/>
          </w:rPr>
          <w:t xml:space="preserve">Midwest CPA — Post-Acquisition Integration: 100 Day Plan</w:t>
        </w:r>
      </w:hyperlink>
    </w:p>
    <w:p>
      <w:pPr>
        <w:pStyle w:val="ListParagraph"/>
        <w:numPr>
          <w:ilvl w:val="0"/>
          <w:numId w:val="1"/>
        </w:numPr>
        <w:spacing w:after="60" w:line="280"/>
      </w:pPr>
      <w:r>
        <w:rPr>
          <w:rFonts w:ascii="Calibri" w:cs="Calibri" w:eastAsia="Calibri" w:hAnsi="Calibri"/>
          <w:b/>
          <w:bCs/>
          <w:color w:val="595959"/>
          <w:sz w:val="20"/>
          <w:szCs w:val="20"/>
        </w:rPr>
        <w:t xml:space="preserve">[T3] </w:t>
      </w:r>
      <w:hyperlink w:history="1" r:id="rId3bs2w08fp-0vi3oahmmy2">
        <w:r>
          <w:rPr>
            <w:rFonts w:ascii="Calibri" w:cs="Calibri" w:eastAsia="Calibri" w:hAnsi="Calibri"/>
            <w:color w:val="0563C1"/>
            <w:sz w:val="20"/>
            <w:szCs w:val="20"/>
            <w:u w:val="single"/>
          </w:rPr>
          <w:t xml:space="preserve">Jetpack Workflow — The First 100 Days After an Acquisition</w:t>
        </w:r>
      </w:hyperlink>
    </w:p>
    <w:p>
      <w:pPr>
        <w:pStyle w:val="ListParagraph"/>
        <w:numPr>
          <w:ilvl w:val="0"/>
          <w:numId w:val="1"/>
        </w:numPr>
        <w:spacing w:after="60" w:line="280"/>
      </w:pPr>
      <w:r>
        <w:rPr>
          <w:rFonts w:ascii="Calibri" w:cs="Calibri" w:eastAsia="Calibri" w:hAnsi="Calibri"/>
          <w:b/>
          <w:bCs/>
          <w:color w:val="2E5395"/>
          <w:sz w:val="20"/>
          <w:szCs w:val="20"/>
        </w:rPr>
        <w:t xml:space="preserve">[T2] </w:t>
      </w:r>
      <w:hyperlink w:history="1" r:id="rIdwmkx2sks30rrwro9x2gvt">
        <w:r>
          <w:rPr>
            <w:rFonts w:ascii="Calibri" w:cs="Calibri" w:eastAsia="Calibri" w:hAnsi="Calibri"/>
            <w:color w:val="0563C1"/>
            <w:sz w:val="20"/>
            <w:szCs w:val="20"/>
            <w:u w:val="single"/>
          </w:rPr>
          <w:t xml:space="preserve">Accountancy Europe — Private equity investments in accountancy firms</w:t>
        </w:r>
      </w:hyperlink>
    </w:p>
    <w:p>
      <w:pPr>
        <w:pBdr>
          <w:bottom w:val="single" w:color="BFBFBF" w:sz="6"/>
        </w:pBdr>
        <w:spacing w:after="200" w:before="80"/>
      </w:pPr>
      <w:r>
        <w:rPr>
          <w:rFonts w:ascii="Calibri" w:cs="Calibri" w:eastAsia="Calibri" w:hAnsi="Calibri"/>
        </w:rPr>
        <w:t xml:space="preserve"/>
      </w:r>
    </w:p>
    <w:p>
      <w:pPr>
        <w:spacing w:after="120" w:line="300"/>
        <w:jc w:val="both"/>
      </w:pPr>
      <w:r>
        <w:rPr>
          <w:rFonts w:ascii="Calibri" w:cs="Calibri" w:eastAsia="Calibri" w:hAnsi="Calibri"/>
          <w:b w:val="false"/>
          <w:bCs w:val="false"/>
          <w:i/>
          <w:iCs/>
          <w:color w:val="595959"/>
          <w:sz w:val="20"/>
          <w:szCs w:val="20"/>
        </w:rPr>
        <w:t xml:space="preserve">This addendum is a companion document to the main memo AI_Rollup_Accounting_Deep_Research.docx. Read together for full strategic context. Both documents follow the deep-research discipline: every non-trivial claim sourced, all contradictions surfaced not buried, gaps explicitly listed. — End of memo.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gpvqpx-bzqtri1lxrpng" Type="http://schemas.openxmlformats.org/officeDocument/2006/relationships/hyperlink" Target="https://practiceguides.chambers.com/practice-guides/private-equity-2025/italy/trends-and-developments" TargetMode="External"/><Relationship Id="rIdctjgkyn0qd_6hvtgryaqe" Type="http://schemas.openxmlformats.org/officeDocument/2006/relationships/hyperlink" Target="https://practiceguides.chambers.com/practice-guides/corporate-ma-2025/italy/trends-and-developments/" TargetMode="External"/><Relationship Id="rIdzyepqfnawu6ztdyn8lyps" Type="http://schemas.openxmlformats.org/officeDocument/2006/relationships/hyperlink" Target="https://practiceguides.chambers.com/practice-guides/private-equity-2025/spain/trends-and-developments" TargetMode="External"/><Relationship Id="rId15ujd0jm6tvtugmeeji3k" Type="http://schemas.openxmlformats.org/officeDocument/2006/relationships/hyperlink" Target="https://practiceguides.chambers.com/practice-guides/private-equity-2025/greece/trends-and-developments" TargetMode="External"/><Relationship Id="rIdrlflhq9uqwnpftllwp5kz" Type="http://schemas.openxmlformats.org/officeDocument/2006/relationships/hyperlink" Target="https://www.pwc.com/it/it/publications/assets/docs/pwc-economic-impact-25.pdf" TargetMode="External"/><Relationship Id="rIdchzm33zsepwpysrmif2cz" Type="http://schemas.openxmlformats.org/officeDocument/2006/relationships/hyperlink" Target="https://community.ionanalytics.com/mergermarket-ma-forum-italy-2025/italian-ma-in-2025-growth-and-consolidation" TargetMode="External"/><Relationship Id="rId8rlignzcahbuoo_54ju5t" Type="http://schemas.openxmlformats.org/officeDocument/2006/relationships/hyperlink" Target="https://ionanalytics.com/insights/mergermarket/spain-in-the-spotlight-spanish-ma-and-pe-activity-in-hy-2025/" TargetMode="External"/><Relationship Id="rIdujezscyunyglnbvounoch" Type="http://schemas.openxmlformats.org/officeDocument/2006/relationships/hyperlink" Target="https://www.fondazionenazionalecommercialisti.it/filemanager/active/01452/2020_09_21_STP_2.0.pdf?fid=1452" TargetMode="External"/><Relationship Id="rId_7_rjuerpb6zyitvgiagp" Type="http://schemas.openxmlformats.org/officeDocument/2006/relationships/hyperlink" Target="https://www.filodiritto.com/societa-tra-professionisti-stp-triennio-da-record-avvocati-e-commercialisti" TargetMode="External"/><Relationship Id="rIdy2pk7oxtflgwl22tcy5um" Type="http://schemas.openxmlformats.org/officeDocument/2006/relationships/hyperlink" Target="https://www.internationalaccountingbulletin.com/news/newstribunal-rules-in-favour-of-mazars-on-disputed-bdo-merger-in-italy-4819414/" TargetMode="External"/><Relationship Id="rIdkj3zikpgxikavrxcvi8lv" Type="http://schemas.openxmlformats.org/officeDocument/2006/relationships/hyperlink" Target="https://www.ifac.org/about-ifac/membership/members/ordem-dos-contabilistas-certificados" TargetMode="External"/><Relationship Id="rIdaouagznxhy5-svk_5cwye" Type="http://schemas.openxmlformats.org/officeDocument/2006/relationships/hyperlink" Target="https://aventis-advisors.com/ma-in-central-and-eastern-europe/" TargetMode="External"/><Relationship Id="rId0pm8dipww_fgqdfw8y3ib" Type="http://schemas.openxmlformats.org/officeDocument/2006/relationships/hyperlink" Target="https://www.dealsuite.com/en/blogs/cee-m-a-monitor-august-2025" TargetMode="External"/><Relationship Id="rIdm7z3rlygvve49xmuw9xm8" Type="http://schemas.openxmlformats.org/officeDocument/2006/relationships/hyperlink" Target="https://www.ey.com/en_cz/insights/strategy-transactions/m-and-a-barometer-cee-third-quarter-2025" TargetMode="External"/><Relationship Id="rIdunwzvjsq-y-ntoxh9y3xz" Type="http://schemas.openxmlformats.org/officeDocument/2006/relationships/hyperlink" Target="https://www.wolftheiss.com/insights/private-equity-2025-poland/" TargetMode="External"/><Relationship Id="rIdx9ay44a8owf57sflwkftf" Type="http://schemas.openxmlformats.org/officeDocument/2006/relationships/hyperlink" Target="https://practiceguides.chambers.com/practice-guides/corporate-ma-2025/poland/trends-and-developments" TargetMode="External"/><Relationship Id="rIdyhpphkqa_pcbbpdxobh7c" Type="http://schemas.openxmlformats.org/officeDocument/2006/relationships/hyperlink" Target="https://sovos.com/vat/tax-rules/poland-e-invoicing/" TargetMode="External"/><Relationship Id="rIdikjihooadi6bcql88vntl" Type="http://schemas.openxmlformats.org/officeDocument/2006/relationships/hyperlink" Target="https://www.avalara.com/blog/en/europe/2026/01/poland-vat-reporting-ksef-e-invoicing-update.html" TargetMode="External"/><Relationship Id="rIdjbxxvd__3l5l4dba39ojt" Type="http://schemas.openxmlformats.org/officeDocument/2006/relationships/hyperlink" Target="https://edicomgroup.com/blog/poland-will-make-b2b-electronic-invoicing-mandatory" TargetMode="External"/><Relationship Id="rIdx9863hekvhhtmdiplupfk" Type="http://schemas.openxmlformats.org/officeDocument/2006/relationships/hyperlink" Target="https://practiceguides.chambers.com/practice-guides/merger-control-2025/czech-republic" TargetMode="External"/><Relationship Id="rId1iq03mrao_ynzivs2lywz" Type="http://schemas.openxmlformats.org/officeDocument/2006/relationships/hyperlink" Target="https://www.mgiworld.com/resource/poland-and-italy-accounting-firms-balance-reform-digital-change-and-consolidation.html" TargetMode="External"/><Relationship Id="rIdutsiej8k4roq1zerodxfa" Type="http://schemas.openxmlformats.org/officeDocument/2006/relationships/hyperlink" Target="https://www.cbi.eu/market-information/outsourcing-itobpo/finance-and-accounting/market-potential" TargetMode="External"/><Relationship Id="rId_jlyp9lx_48d-b21uvodr" Type="http://schemas.openxmlformats.org/officeDocument/2006/relationships/hyperlink" Target="https://www.mordorintelligence.com/industry-reports/finance-and-accounting-outsourcing-market" TargetMode="External"/><Relationship Id="rIde_oi6-uu50erv-vobmjok" Type="http://schemas.openxmlformats.org/officeDocument/2006/relationships/hyperlink" Target="https://clfi.co.uk/insights/ma-ev-ebitda-multiples-2025-pe-vs-corporate/" TargetMode="External"/><Relationship Id="rIdlb-96lwpux3eg7hvbtb1i" Type="http://schemas.openxmlformats.org/officeDocument/2006/relationships/hyperlink" Target="https://clfi.co.uk/insights/ebitda-multiples-by-industry-uk-2025/" TargetMode="External"/><Relationship Id="rId5v5cfkzdauhqz4mikqgwm" Type="http://schemas.openxmlformats.org/officeDocument/2006/relationships/hyperlink" Target="https://madrasaccountancy.com/blog-posts/why-private-equity-firms-buy-accounting-firms-2025-analysis-ma" TargetMode="External"/><Relationship Id="rIde4bjdglyzwvxs8pf-u853" Type="http://schemas.openxmlformats.org/officeDocument/2006/relationships/hyperlink" Target="https://rlhulett.com/app/uploads/2025/07/Business-Services-MA-Update-Q2-2025.pdf" TargetMode="External"/><Relationship Id="rIdjz4hqdol7avwcphu-3b1o" Type="http://schemas.openxmlformats.org/officeDocument/2006/relationships/hyperlink" Target="https://ctacquisitions.com/private-equity-roll-up-strategy/" TargetMode="External"/><Relationship Id="rId5gvoddzgygqslefq85rt2" Type="http://schemas.openxmlformats.org/officeDocument/2006/relationships/hyperlink" Target="https://soferadvisors.com/insights/blog/how-to-value-a-cpa-or-accounting-firm-beyond-the-1x-revenue-rule/" TargetMode="External"/><Relationship Id="rIdozwmdhg-vqk7uhmw4gzz4" Type="http://schemas.openxmlformats.org/officeDocument/2006/relationships/hyperlink" Target="https://www.firmlever.com/blog/how-to-value-an-accounting-firm-the-complete-guide-to-cpa-practice-valuation-2025-2026/" TargetMode="External"/><Relationship Id="rIdrliq8aisih3v9-isav9ge" Type="http://schemas.openxmlformats.org/officeDocument/2006/relationships/hyperlink" Target="https://www.molestreet.com/blog/6-due-diligence-areas-that-determine-what-your-accounting-firm-is-worth-to-private-equity" TargetMode="External"/><Relationship Id="rIdch77sjbmotatzn-4lv3uf" Type="http://schemas.openxmlformats.org/officeDocument/2006/relationships/hyperlink" Target="https://poegroupadvisors.com/blog/pricing-accounting-practices-on-ebitda/" TargetMode="External"/><Relationship Id="rIdkmtzb4qzoqaz2zll_e5ak" Type="http://schemas.openxmlformats.org/officeDocument/2006/relationships/hyperlink" Target="https://thefinancestory.com/private-equity-accounting-roll-ups-hitting-reality-check" TargetMode="External"/><Relationship Id="rIdjcuyesitnopljy2frf1dl" Type="http://schemas.openxmlformats.org/officeDocument/2006/relationships/hyperlink" Target="https://karbonhq.com/resources/merger-acquisition-due-diligence-process/" TargetMode="External"/><Relationship Id="rId0oweg0snhensnu_uip6fb" Type="http://schemas.openxmlformats.org/officeDocument/2006/relationships/hyperlink" Target="https://midwest.cpa/resources/post-acquisition-integration-your-100-day-plan/" TargetMode="External"/><Relationship Id="rId3bs2w08fp-0vi3oahmmy2" Type="http://schemas.openxmlformats.org/officeDocument/2006/relationships/hyperlink" Target="https://jetpackworkflow.com/blog/the-first-100-days-after-an-acquisition/" TargetMode="External"/><Relationship Id="rIdwmkx2sks30rrwro9x2gvt" Type="http://schemas.openxmlformats.org/officeDocument/2006/relationships/hyperlink" Target="https://accountancyeurope.eu/publications/private-equity-investments-in-accountancy-firms/"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Roll-Up Accounting — Addendum: CEE + SEE Deep Dive &amp; Target Profile</dc:title>
  <dc:creator>Cowork — Viktar Dzenisevich</dc:creator>
  <dc:description>Research memo addendum on Eastern + Southern Europe AI accounting roll-up strategy and target company profile</dc:description>
  <cp:lastModifiedBy>Un-named</cp:lastModifiedBy>
  <cp:revision>1</cp:revision>
  <dcterms:created xsi:type="dcterms:W3CDTF">2026-05-21T08:46:39.901Z</dcterms:created>
  <dcterms:modified xsi:type="dcterms:W3CDTF">2026-05-21T08:46:39.902Z</dcterms:modified>
</cp:coreProperties>
</file>

<file path=docProps/custom.xml><?xml version="1.0" encoding="utf-8"?>
<Properties xmlns="http://schemas.openxmlformats.org/officeDocument/2006/custom-properties" xmlns:vt="http://schemas.openxmlformats.org/officeDocument/2006/docPropsVTypes"/>
</file>