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A68"/>
          <w:sz w:val="32"/>
          <w:szCs w:val="32"/>
        </w:rPr>
        <w:t xml:space="preserve">Meeting brief — Garna.io (Mediacube group)</w:t>
      </w:r>
    </w:p>
    <w:p>
      <w:pPr>
        <w:spacing w:after="80"/>
      </w:pPr>
      <w:r>
        <w:rPr>
          <w:rFonts w:ascii="Arial" w:cs="Arial" w:eastAsia="Arial" w:hAnsi="Arial"/>
          <w:i/>
          <w:iCs/>
          <w:color w:val="555555"/>
          <w:sz w:val="22"/>
          <w:szCs w:val="22"/>
        </w:rPr>
        <w:t xml:space="preserve">First meeting with founders — discovery / partnership exploration</w:t>
      </w:r>
    </w:p>
    <w:p>
      <w:pPr>
        <w:tabs>
          <w:tab w:val="right" w:pos="9026"/>
        </w:tabs>
        <w:spacing w:after="60"/>
      </w:pPr>
      <w:r>
        <w:rPr>
          <w:rFonts w:ascii="Arial" w:cs="Arial" w:eastAsia="Arial" w:hAnsi="Arial"/>
          <w:color w:val="555555"/>
          <w:sz w:val="20"/>
          <w:szCs w:val="20"/>
        </w:rPr>
        <w:t xml:space="preserve">Prepared: May 2026</w:t>
      </w:r>
      <w:r>
        <w:rPr>
          <w:rFonts w:ascii="Arial" w:cs="Arial" w:eastAsia="Arial" w:hAnsi="Arial"/>
          <w:color w:val="555555"/>
          <w:sz w:val="20"/>
          <w:szCs w:val="20"/>
        </w:rPr>
        <w:t xml:space="preserve">	Counterparty: garna.io / mediacube.io (Limassol, CY)</w:t>
      </w:r>
    </w:p>
    <w:p>
      <w:pPr>
        <w:pBdr>
          <w:bottom w:val="single" w:color="BFD3E8" w:sz="6" w:space="1"/>
        </w:pBdr>
        <w:spacing w:after="60" w:before="60"/>
      </w:pPr>
      <w:r>
        <w:t xml:space="preserve"/>
      </w:r>
    </w:p>
    <w:p>
      <w:pPr>
        <w:pStyle w:val="Heading1"/>
        <w:spacing w:after="140" w:before="240"/>
      </w:pPr>
      <w:r>
        <w:rPr>
          <w:rFonts w:ascii="Arial" w:cs="Arial" w:eastAsia="Arial" w:hAnsi="Arial"/>
          <w:b/>
          <w:bCs/>
          <w:color w:val="1F3A68"/>
          <w:sz w:val="30"/>
          <w:szCs w:val="30"/>
        </w:rPr>
        <w:t xml:space="preserve">1.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1F3A6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7160"/>
            <w:tcBorders>
              <w:top w:val="single" w:color="CCCCCC" w:sz="4"/>
              <w:left w:val="single" w:color="CCCCCC" w:sz="4"/>
              <w:bottom w:val="single" w:color="CCCCCC" w:sz="4"/>
              <w:right w:val="single" w:color="CCCCCC" w:sz="4"/>
            </w:tcBorders>
            <w:shd w:fill="1F3A6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Detail</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Meeting</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First-time call with Garna founders / leadership team</w:t>
            </w:r>
          </w:p>
        </w:tc>
      </w:tr>
      <w:tr>
        <w:tc>
          <w:tcPr>
            <w:tcW w:type="dxa" w:w="2200"/>
            <w:tcBorders>
              <w:top w:val="single" w:color="CCCCCC" w:sz="4"/>
              <w:left w:val="single" w:color="CCCCCC" w:sz="4"/>
              <w:bottom w:val="single" w:color="CCCCCC" w:sz="4"/>
              <w:right w:val="single" w:color="CCCCCC" w:sz="4"/>
            </w:tcBorders>
            <w:shd w:fill="F0F4F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Date / time</w:t>
            </w:r>
          </w:p>
        </w:tc>
        <w:tc>
          <w:tcPr>
            <w:tcW w:type="dxa" w:w="7160"/>
            <w:tcBorders>
              <w:top w:val="single" w:color="CCCCCC" w:sz="4"/>
              <w:left w:val="single" w:color="CCCCCC" w:sz="4"/>
              <w:bottom w:val="single" w:color="CCCCCC" w:sz="4"/>
              <w:right w:val="single" w:color="CCCCCC" w:sz="4"/>
            </w:tcBorders>
            <w:shd w:fill="F0F4F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TBC — confirm before sending</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Format</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Video (assumed) — confirm Zoom / Meet link</w:t>
            </w:r>
          </w:p>
        </w:tc>
      </w:tr>
      <w:tr>
        <w:tc>
          <w:tcPr>
            <w:tcW w:type="dxa" w:w="2200"/>
            <w:tcBorders>
              <w:top w:val="single" w:color="CCCCCC" w:sz="4"/>
              <w:left w:val="single" w:color="CCCCCC" w:sz="4"/>
              <w:bottom w:val="single" w:color="CCCCCC" w:sz="4"/>
              <w:right w:val="single" w:color="CCCCCC" w:sz="4"/>
            </w:tcBorders>
            <w:shd w:fill="F0F4F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From their side (likely)</w:t>
            </w:r>
          </w:p>
        </w:tc>
        <w:tc>
          <w:tcPr>
            <w:tcW w:type="dxa" w:w="7160"/>
            <w:tcBorders>
              <w:top w:val="single" w:color="CCCCCC" w:sz="4"/>
              <w:left w:val="single" w:color="CCCCCC" w:sz="4"/>
              <w:bottom w:val="single" w:color="CCCCCC" w:sz="4"/>
              <w:right w:val="single" w:color="CCCCCC" w:sz="4"/>
            </w:tcBorders>
            <w:shd w:fill="F0F4F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Vlad Kolomensky (CEO Garna / CBDO Mediacube); Michael Bychenok (CEO Mediacube, since 2015) — confirm in advance who specifically is attending</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From your side</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You (Viktar Dzenisevich) — operator / founding GP of the AI-accounting roll-up platform</w:t>
            </w:r>
          </w:p>
        </w:tc>
      </w:tr>
      <w:tr>
        <w:tc>
          <w:tcPr>
            <w:tcW w:type="dxa" w:w="2200"/>
            <w:tcBorders>
              <w:top w:val="single" w:color="CCCCCC" w:sz="4"/>
              <w:left w:val="single" w:color="CCCCCC" w:sz="4"/>
              <w:bottom w:val="single" w:color="CCCCCC" w:sz="4"/>
              <w:right w:val="single" w:color="CCCCCC" w:sz="4"/>
            </w:tcBorders>
            <w:shd w:fill="F0F4F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Stated agenda</w:t>
            </w:r>
          </w:p>
        </w:tc>
        <w:tc>
          <w:tcPr>
            <w:tcW w:type="dxa" w:w="7160"/>
            <w:tcBorders>
              <w:top w:val="single" w:color="CCCCCC" w:sz="4"/>
              <w:left w:val="single" w:color="CCCCCC" w:sz="4"/>
              <w:bottom w:val="single" w:color="CCCCCC" w:sz="4"/>
              <w:right w:val="single" w:color="CCCCCC" w:sz="4"/>
            </w:tcBorders>
            <w:shd w:fill="F0F4F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Mutual intro + explore distribution partnership: bookkeeping / tax / legal services for Garna's contractors and B2B clients</w:t>
            </w:r>
          </w:p>
        </w:tc>
      </w:tr>
    </w:tbl>
    <w:p>
      <w:pPr>
        <w:pStyle w:val="Heading1"/>
        <w:spacing w:after="140" w:before="240"/>
      </w:pPr>
      <w:r>
        <w:rPr>
          <w:rFonts w:ascii="Arial" w:cs="Arial" w:eastAsia="Arial" w:hAnsi="Arial"/>
          <w:b/>
          <w:bCs/>
          <w:color w:val="1F3A68"/>
          <w:sz w:val="30"/>
          <w:szCs w:val="30"/>
        </w:rPr>
        <w:t xml:space="preserve">2. The ask (one sentence)</w:t>
      </w:r>
    </w:p>
    <w:p>
      <w:pPr>
        <w:spacing w:after="100"/>
      </w:pPr>
      <w:r>
        <w:rPr>
          <w:rFonts w:ascii="Arial" w:cs="Arial" w:eastAsia="Arial" w:hAnsi="Arial"/>
          <w:b w:val="false"/>
          <w:bCs w:val="false"/>
          <w:i w:val="false"/>
          <w:iCs w:val="false"/>
          <w:sz w:val="22"/>
          <w:szCs w:val="22"/>
        </w:rPr>
        <w:t xml:space="preserve">Leave the call with a verbal alignment to run a small paid pilot (50–200 of Garna's contractors and 3–5 of Garna's B2B platform clients) so we can prove conversion and unit economics within 60–90 days, with rev-share economics to be agreed in a follow-up.</w:t>
      </w:r>
    </w:p>
    <w:p>
      <w:pPr>
        <w:spacing w:after="100"/>
      </w:pPr>
      <w:r>
        <w:rPr>
          <w:rFonts w:ascii="Arial" w:cs="Arial" w:eastAsia="Arial" w:hAnsi="Arial"/>
          <w:b w:val="false"/>
          <w:bCs w:val="false"/>
          <w:i/>
          <w:iCs/>
          <w:color w:val="555555"/>
          <w:sz w:val="22"/>
          <w:szCs w:val="22"/>
        </w:rPr>
        <w:t xml:space="preserve">Secondary ask (if discovery is positive but no pilot decision today): introductions to (a) Head of Partnerships / Operations, (b) Head of Compliance, and (c) 2–3 of their top contractor-paying enterprise customers as referenceable design partners.</w:t>
      </w:r>
    </w:p>
    <w:p>
      <w:pPr>
        <w:pStyle w:val="Heading1"/>
        <w:spacing w:after="140" w:before="240"/>
      </w:pPr>
      <w:r>
        <w:rPr>
          <w:rFonts w:ascii="Arial" w:cs="Arial" w:eastAsia="Arial" w:hAnsi="Arial"/>
          <w:b/>
          <w:bCs/>
          <w:color w:val="1F3A68"/>
          <w:sz w:val="30"/>
          <w:szCs w:val="30"/>
        </w:rPr>
        <w:t xml:space="preserve">3. Company snapshot</w:t>
      </w:r>
    </w:p>
    <w:p>
      <w:pPr>
        <w:spacing w:after="100"/>
      </w:pPr>
      <w:r>
        <w:rPr>
          <w:rFonts w:ascii="Arial" w:cs="Arial" w:eastAsia="Arial" w:hAnsi="Arial"/>
          <w:b w:val="false"/>
          <w:bCs w:val="false"/>
          <w:i w:val="false"/>
          <w:iCs w:val="false"/>
          <w:sz w:val="22"/>
          <w:szCs w:val="22"/>
        </w:rPr>
        <w:t xml:space="preserve">Garna.io is the global-payroll subsidiary of Mediacube — a Limassol-based creator-economy group founded in 2015. Mediacube started as a YouTube/Facebook multi-channel network for CIS creators, evolved into a creator-services platform serving 7,000+ creators across 150 countries, and spun out Garna in late 2024 as a B2B global payroll product.</w:t>
      </w:r>
    </w:p>
    <w:p>
      <w:pPr>
        <w:pStyle w:val="Heading2"/>
        <w:spacing w:after="100" w:before="180"/>
      </w:pPr>
      <w:r>
        <w:rPr>
          <w:rFonts w:ascii="Arial" w:cs="Arial" w:eastAsia="Arial" w:hAnsi="Arial"/>
          <w:b/>
          <w:bCs/>
          <w:color w:val="2E5B9A"/>
          <w:sz w:val="25"/>
          <w:szCs w:val="25"/>
        </w:rPr>
        <w:t xml:space="preserve">Business model</w:t>
      </w:r>
    </w:p>
    <w:p>
      <w:pPr>
        <w:pStyle w:val="ListParagraph"/>
        <w:numPr>
          <w:ilvl w:val="0"/>
          <w:numId w:val="2"/>
        </w:numPr>
        <w:spacing w:after="60"/>
      </w:pPr>
      <w:r>
        <w:rPr>
          <w:rFonts w:ascii="Arial" w:cs="Arial" w:eastAsia="Arial" w:hAnsi="Arial"/>
          <w:sz w:val="22"/>
          <w:szCs w:val="22"/>
        </w:rPr>
        <w:t xml:space="preserve">B2B SaaS + financial-rails product: companies (Garna's customers) pay distributed contractors / employees in 150+ countries via Garna; contractors (Garna's users) receive in 80+ currencies, cards, wallets, and crypto.</w:t>
      </w:r>
    </w:p>
    <w:p>
      <w:pPr>
        <w:pStyle w:val="ListParagraph"/>
        <w:numPr>
          <w:ilvl w:val="0"/>
          <w:numId w:val="2"/>
        </w:numPr>
        <w:spacing w:after="60"/>
      </w:pPr>
      <w:r>
        <w:rPr>
          <w:rFonts w:ascii="Arial" w:cs="Arial" w:eastAsia="Arial" w:hAnsi="Arial"/>
          <w:sz w:val="22"/>
          <w:szCs w:val="22"/>
        </w:rPr>
        <w:t xml:space="preserve">Headline pitch: "Pay now, settle later" — Garna fronts the payouts to contractors and gives the B2B client a 30/60/90-day credit line. Effective AR financing dressed as a payroll product.</w:t>
      </w:r>
    </w:p>
    <w:p>
      <w:pPr>
        <w:pStyle w:val="ListParagraph"/>
        <w:numPr>
          <w:ilvl w:val="0"/>
          <w:numId w:val="2"/>
        </w:numPr>
        <w:spacing w:after="60"/>
      </w:pPr>
      <w:r>
        <w:rPr>
          <w:rFonts w:ascii="Arial" w:cs="Arial" w:eastAsia="Arial" w:hAnsi="Arial"/>
          <w:sz w:val="22"/>
          <w:szCs w:val="22"/>
        </w:rPr>
        <w:t xml:space="preserve">Two distinct user populations: (a) the B2B "payer" — digital agencies, tech / SaaS companies, edtech, Web3 teams, distributed workforce; (b) the contractor "payee" — global freelancers, creators, agency contractors, many of CEE / FSU origin given Mediacube's roots.</w:t>
      </w:r>
    </w:p>
    <w:p>
      <w:pPr>
        <w:pStyle w:val="ListParagraph"/>
        <w:numPr>
          <w:ilvl w:val="0"/>
          <w:numId w:val="2"/>
        </w:numPr>
        <w:spacing w:after="60"/>
      </w:pPr>
      <w:r>
        <w:rPr>
          <w:rFonts w:ascii="Arial" w:cs="Arial" w:eastAsia="Arial" w:hAnsi="Arial"/>
          <w:sz w:val="22"/>
          <w:szCs w:val="22"/>
        </w:rPr>
        <w:t xml:space="preserve">Explicitly NOT a financial institution — fintech rails provided via Payoneer, CoinsPaid, and MEDIACUBE PAY INC. (Toronto, FINTRAC-licensed Money Service Business).</w:t>
      </w:r>
    </w:p>
    <w:p>
      <w:pPr>
        <w:pStyle w:val="Heading2"/>
        <w:spacing w:after="100" w:before="180"/>
      </w:pPr>
      <w:r>
        <w:rPr>
          <w:rFonts w:ascii="Arial" w:cs="Arial" w:eastAsia="Arial" w:hAnsi="Arial"/>
          <w:b/>
          <w:bCs/>
          <w:color w:val="2E5B9A"/>
          <w:sz w:val="25"/>
          <w:szCs w:val="25"/>
        </w:rPr>
        <w:t xml:space="preserve">Scale &amp; trajectory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rPr>
          <w:tblHeader/>
        </w:trPr>
        <w:tc>
          <w:tcPr>
            <w:tcW w:type="dxa" w:w="2200"/>
            <w:tcBorders>
              <w:top w:val="single" w:color="CCCCCC" w:sz="4"/>
              <w:left w:val="single" w:color="CCCCCC" w:sz="4"/>
              <w:bottom w:val="single" w:color="CCCCCC" w:sz="4"/>
              <w:right w:val="single" w:color="CCCCCC" w:sz="4"/>
            </w:tcBorders>
            <w:shd w:fill="1F3A6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Metric</w:t>
            </w:r>
          </w:p>
        </w:tc>
        <w:tc>
          <w:tcPr>
            <w:tcW w:type="dxa" w:w="3160"/>
            <w:tcBorders>
              <w:top w:val="single" w:color="CCCCCC" w:sz="4"/>
              <w:left w:val="single" w:color="CCCCCC" w:sz="4"/>
              <w:bottom w:val="single" w:color="CCCCCC" w:sz="4"/>
              <w:right w:val="single" w:color="CCCCCC" w:sz="4"/>
            </w:tcBorders>
            <w:shd w:fill="1F3A6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Value</w:t>
            </w:r>
          </w:p>
        </w:tc>
        <w:tc>
          <w:tcPr>
            <w:tcW w:type="dxa" w:w="4000"/>
            <w:tcBorders>
              <w:top w:val="single" w:color="CCCCCC" w:sz="4"/>
              <w:left w:val="single" w:color="CCCCCC" w:sz="4"/>
              <w:bottom w:val="single" w:color="CCCCCC" w:sz="4"/>
              <w:right w:val="single" w:color="CCCCCC" w:sz="4"/>
            </w:tcBorders>
            <w:shd w:fill="1F3A6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Source / note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Turnover (FY1 of Garna)</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 → $65M in 12 months</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Public LinkedIn (Mediacube careers + Garna posts)</w:t>
            </w:r>
          </w:p>
        </w:tc>
      </w:tr>
      <w:tr>
        <w:tc>
          <w:tcPr>
            <w:tcW w:type="dxa" w:w="2200"/>
            <w:tcBorders>
              <w:top w:val="single" w:color="CCCCCC" w:sz="4"/>
              <w:left w:val="single" w:color="CCCCCC" w:sz="4"/>
              <w:bottom w:val="single" w:color="CCCCCC" w:sz="4"/>
              <w:right w:val="single" w:color="CCCCCC" w:sz="4"/>
            </w:tcBorders>
            <w:shd w:fill="F0F4F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Countries supported</w:t>
            </w:r>
          </w:p>
        </w:tc>
        <w:tc>
          <w:tcPr>
            <w:tcW w:type="dxa" w:w="3160"/>
            <w:tcBorders>
              <w:top w:val="single" w:color="CCCCCC" w:sz="4"/>
              <w:left w:val="single" w:color="CCCCCC" w:sz="4"/>
              <w:bottom w:val="single" w:color="CCCCCC" w:sz="4"/>
              <w:right w:val="single" w:color="CCCCCC" w:sz="4"/>
            </w:tcBorders>
            <w:shd w:fill="F0F4F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150+</w:t>
            </w:r>
          </w:p>
        </w:tc>
        <w:tc>
          <w:tcPr>
            <w:tcW w:type="dxa" w:w="4000"/>
            <w:tcBorders>
              <w:top w:val="single" w:color="CCCCCC" w:sz="4"/>
              <w:left w:val="single" w:color="CCCCCC" w:sz="4"/>
              <w:bottom w:val="single" w:color="CCCCCC" w:sz="4"/>
              <w:right w:val="single" w:color="CCCCCC" w:sz="4"/>
            </w:tcBorders>
            <w:shd w:fill="F0F4F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garna.io/en</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Currencies</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80+ (incl. crypto via CoinsPaid)</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garna.io</w:t>
            </w:r>
          </w:p>
        </w:tc>
      </w:tr>
      <w:tr>
        <w:tc>
          <w:tcPr>
            <w:tcW w:type="dxa" w:w="2200"/>
            <w:tcBorders>
              <w:top w:val="single" w:color="CCCCCC" w:sz="4"/>
              <w:left w:val="single" w:color="CCCCCC" w:sz="4"/>
              <w:bottom w:val="single" w:color="CCCCCC" w:sz="4"/>
              <w:right w:val="single" w:color="CCCCCC" w:sz="4"/>
            </w:tcBorders>
            <w:shd w:fill="F0F4F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Contractors served (Mediacube ecosystem)</w:t>
            </w:r>
          </w:p>
        </w:tc>
        <w:tc>
          <w:tcPr>
            <w:tcW w:type="dxa" w:w="3160"/>
            <w:tcBorders>
              <w:top w:val="single" w:color="CCCCCC" w:sz="4"/>
              <w:left w:val="single" w:color="CCCCCC" w:sz="4"/>
              <w:bottom w:val="single" w:color="CCCCCC" w:sz="4"/>
              <w:right w:val="single" w:color="CCCCCC" w:sz="4"/>
            </w:tcBorders>
            <w:shd w:fill="F0F4F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7,000+ creators across 150 countries</w:t>
            </w:r>
          </w:p>
        </w:tc>
        <w:tc>
          <w:tcPr>
            <w:tcW w:type="dxa" w:w="4000"/>
            <w:tcBorders>
              <w:top w:val="single" w:color="CCCCCC" w:sz="4"/>
              <w:left w:val="single" w:color="CCCCCC" w:sz="4"/>
              <w:bottom w:val="single" w:color="CCCCCC" w:sz="4"/>
              <w:right w:val="single" w:color="CCCCCC" w:sz="4"/>
            </w:tcBorders>
            <w:shd w:fill="F0F4F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mediacube.io/en/about</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HQ / regulated entity</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Limassol, Cyprus (Mediacube Worldwide Ltd, reg. 2019) + Toronto (MC Pay Inc., FINTRAC MSB)</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Cyprus Registrar; FINTRAC public registry</w:t>
            </w:r>
          </w:p>
        </w:tc>
      </w:tr>
      <w:tr>
        <w:tc>
          <w:tcPr>
            <w:tcW w:type="dxa" w:w="2200"/>
            <w:tcBorders>
              <w:top w:val="single" w:color="CCCCCC" w:sz="4"/>
              <w:left w:val="single" w:color="CCCCCC" w:sz="4"/>
              <w:bottom w:val="single" w:color="CCCCCC" w:sz="4"/>
              <w:right w:val="single" w:color="CCCCCC" w:sz="4"/>
            </w:tcBorders>
            <w:shd w:fill="F0F4F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Tech / app channel</w:t>
            </w:r>
          </w:p>
        </w:tc>
        <w:tc>
          <w:tcPr>
            <w:tcW w:type="dxa" w:w="3160"/>
            <w:tcBorders>
              <w:top w:val="single" w:color="CCCCCC" w:sz="4"/>
              <w:left w:val="single" w:color="CCCCCC" w:sz="4"/>
              <w:bottom w:val="single" w:color="CCCCCC" w:sz="4"/>
              <w:right w:val="single" w:color="CCCCCC" w:sz="4"/>
            </w:tcBorders>
            <w:shd w:fill="F0F4F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Mobile apps live on App Store and Google Play (launched 2025)</w:t>
            </w:r>
          </w:p>
        </w:tc>
        <w:tc>
          <w:tcPr>
            <w:tcW w:type="dxa" w:w="4000"/>
            <w:tcBorders>
              <w:top w:val="single" w:color="CCCCCC" w:sz="4"/>
              <w:left w:val="single" w:color="CCCCCC" w:sz="4"/>
              <w:bottom w:val="single" w:color="CCCCCC" w:sz="4"/>
              <w:right w:val="single" w:color="CCCCCC" w:sz="4"/>
            </w:tcBorders>
            <w:shd w:fill="F0F4F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Apple App Store / Google Play listing</w:t>
            </w:r>
          </w:p>
        </w:tc>
      </w:tr>
    </w:tbl>
    <w:p>
      <w:pPr>
        <w:pStyle w:val="Heading2"/>
        <w:spacing w:after="100" w:before="180"/>
      </w:pPr>
      <w:r>
        <w:rPr>
          <w:rFonts w:ascii="Arial" w:cs="Arial" w:eastAsia="Arial" w:hAnsi="Arial"/>
          <w:b/>
          <w:bCs/>
          <w:color w:val="2E5B9A"/>
          <w:sz w:val="25"/>
          <w:szCs w:val="25"/>
        </w:rPr>
        <w:t xml:space="preserve">Strategic posture</w:t>
      </w:r>
    </w:p>
    <w:p>
      <w:pPr>
        <w:pStyle w:val="ListParagraph"/>
        <w:numPr>
          <w:ilvl w:val="0"/>
          <w:numId w:val="2"/>
        </w:numPr>
        <w:spacing w:after="60"/>
      </w:pPr>
      <w:r>
        <w:rPr>
          <w:rFonts w:ascii="Arial" w:cs="Arial" w:eastAsia="Arial" w:hAnsi="Arial"/>
          <w:sz w:val="22"/>
          <w:szCs w:val="22"/>
        </w:rPr>
        <w:t xml:space="preserve">Positioning themselves against Deel / Remote / Papaya / Tipalti on the global-payroll axis — but the actual moat is the captive Mediacube creator base + the credit-line working-capital product (most competitors don't extend credit on payouts).</w:t>
      </w:r>
    </w:p>
    <w:p>
      <w:pPr>
        <w:pStyle w:val="ListParagraph"/>
        <w:numPr>
          <w:ilvl w:val="0"/>
          <w:numId w:val="2"/>
        </w:numPr>
        <w:spacing w:after="60"/>
      </w:pPr>
      <w:r>
        <w:rPr>
          <w:rFonts w:ascii="Arial" w:cs="Arial" w:eastAsia="Arial" w:hAnsi="Arial"/>
          <w:sz w:val="22"/>
          <w:szCs w:val="22"/>
        </w:rPr>
        <w:t xml:space="preserve">Service philosophy is explicitly "partner, don't build" — all fintech rails outsourced. This is the most important fact for our pitch: they already have a partnership-first culture.</w:t>
      </w:r>
    </w:p>
    <w:p>
      <w:r>
        <w:br w:type="page"/>
      </w:r>
    </w:p>
    <w:p>
      <w:pPr>
        <w:pStyle w:val="Heading1"/>
        <w:spacing w:after="140" w:before="240"/>
      </w:pPr>
      <w:r>
        <w:rPr>
          <w:rFonts w:ascii="Arial" w:cs="Arial" w:eastAsia="Arial" w:hAnsi="Arial"/>
          <w:b/>
          <w:bCs/>
          <w:color w:val="1F3A68"/>
          <w:sz w:val="30"/>
          <w:szCs w:val="30"/>
        </w:rPr>
        <w:t xml:space="preserve">4. Key people (likely attendees)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CCCCCC" w:sz="4"/>
              <w:left w:val="single" w:color="CCCCCC" w:sz="4"/>
              <w:bottom w:val="single" w:color="CCCCCC" w:sz="4"/>
              <w:right w:val="single" w:color="CCCCCC" w:sz="4"/>
            </w:tcBorders>
            <w:shd w:fill="1F3A6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Name / role</w:t>
            </w:r>
          </w:p>
        </w:tc>
        <w:tc>
          <w:tcPr>
            <w:tcW w:type="dxa" w:w="3380"/>
            <w:tcBorders>
              <w:top w:val="single" w:color="CCCCCC" w:sz="4"/>
              <w:left w:val="single" w:color="CCCCCC" w:sz="4"/>
              <w:bottom w:val="single" w:color="CCCCCC" w:sz="4"/>
              <w:right w:val="single" w:color="CCCCCC" w:sz="4"/>
            </w:tcBorders>
            <w:shd w:fill="1F3A6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Background / context</w:t>
            </w:r>
          </w:p>
        </w:tc>
        <w:tc>
          <w:tcPr>
            <w:tcW w:type="dxa" w:w="3380"/>
            <w:tcBorders>
              <w:top w:val="single" w:color="CCCCCC" w:sz="4"/>
              <w:left w:val="single" w:color="CCCCCC" w:sz="4"/>
              <w:bottom w:val="single" w:color="CCCCCC" w:sz="4"/>
              <w:right w:val="single" w:color="CCCCCC" w:sz="4"/>
            </w:tcBorders>
            <w:shd w:fill="1F3A6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Likely posture toward our ask</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Vlad Kolomensky — CEO Garna; CBDO Mediacube</w:t>
            </w:r>
          </w:p>
        </w:tc>
        <w:tc>
          <w:tcPr>
            <w:tcW w:type="dxa" w:w="33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Operator with BD/commercial DNA. Was running Mediacube's commercial side before being given Garna as a P&amp;L. The $0→$65M growth narrative is his.</w:t>
            </w:r>
          </w:p>
        </w:tc>
        <w:tc>
          <w:tcPr>
            <w:tcW w:type="dxa" w:w="33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Will be measured by GMV growth and customer retention. Will respond to: incremental ARPU per existing contractor + reduced contractor churn. Will push back on: anything that requires Garna's engineering bandwidth or adds friction in their UX.</w:t>
            </w:r>
          </w:p>
        </w:tc>
      </w:tr>
      <w:tr>
        <w:tc>
          <w:tcPr>
            <w:tcW w:type="dxa" w:w="2600"/>
            <w:tcBorders>
              <w:top w:val="single" w:color="CCCCCC" w:sz="4"/>
              <w:left w:val="single" w:color="CCCCCC" w:sz="4"/>
              <w:bottom w:val="single" w:color="CCCCCC" w:sz="4"/>
              <w:right w:val="single" w:color="CCCCCC" w:sz="4"/>
            </w:tcBorders>
            <w:shd w:fill="F0F4F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Michael Bychenok — CEO Mediacube (since 2015)</w:t>
            </w:r>
          </w:p>
        </w:tc>
        <w:tc>
          <w:tcPr>
            <w:tcW w:type="dxa" w:w="3380"/>
            <w:tcBorders>
              <w:top w:val="single" w:color="CCCCCC" w:sz="4"/>
              <w:left w:val="single" w:color="CCCCCC" w:sz="4"/>
              <w:bottom w:val="single" w:color="CCCCCC" w:sz="4"/>
              <w:right w:val="single" w:color="CCCCCC" w:sz="4"/>
            </w:tcBorders>
            <w:shd w:fill="F0F4F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Founder-era leader; built the YouTube MCN, evolved it into the creator-economy platform, spun out Garna. Strategic / category-positioning lens.</w:t>
            </w:r>
          </w:p>
        </w:tc>
        <w:tc>
          <w:tcPr>
            <w:tcW w:type="dxa" w:w="3380"/>
            <w:tcBorders>
              <w:top w:val="single" w:color="CCCCCC" w:sz="4"/>
              <w:left w:val="single" w:color="CCCCCC" w:sz="4"/>
              <w:bottom w:val="single" w:color="CCCCCC" w:sz="4"/>
              <w:right w:val="single" w:color="CCCCCC" w:sz="4"/>
            </w:tcBorders>
            <w:shd w:fill="F0F4F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Will be measured by ecosystem stickiness for Mediacube creators (the 7,000 base) and Garna's positioning vs. Deel. Will respond to: framing accounting+tax+legal as the missing layer of the "creator/contractor financial OS". Will push back on: anything that fragments the brand.</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(Possible) Head of Partnerships / Compliance</w:t>
            </w:r>
          </w:p>
        </w:tc>
        <w:tc>
          <w:tcPr>
            <w:tcW w:type="dxa" w:w="33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Not confirmed for this call. Operational lens — vendor onboarding, KYC, contracting.</w:t>
            </w:r>
          </w:p>
        </w:tc>
        <w:tc>
          <w:tcPr>
            <w:tcW w:type="dxa" w:w="33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Will gate any deal on KYC-of-counterparty diligence and SLA / liability allocation.</w:t>
            </w:r>
          </w:p>
        </w:tc>
      </w:tr>
    </w:tbl>
    <w:p>
      <w:pPr>
        <w:spacing w:after="100"/>
      </w:pPr>
      <w:r>
        <w:rPr>
          <w:rFonts w:ascii="Arial" w:cs="Arial" w:eastAsia="Arial" w:hAnsi="Arial"/>
          <w:b w:val="false"/>
          <w:bCs w:val="false"/>
          <w:i/>
          <w:iCs/>
          <w:color w:val="555555"/>
          <w:sz w:val="22"/>
          <w:szCs w:val="22"/>
        </w:rPr>
        <w:t xml:space="preserve">Pre-call action: ask Garna's host (likely via LinkedIn DM or the intro email) to confirm attendee list 48h before; if Head of Compliance is in the room, prepare a separate liability-allocation slide.</w:t>
      </w:r>
    </w:p>
    <w:p>
      <w:pPr>
        <w:pStyle w:val="Heading1"/>
        <w:spacing w:after="140" w:before="240"/>
      </w:pPr>
      <w:r>
        <w:rPr>
          <w:rFonts w:ascii="Arial" w:cs="Arial" w:eastAsia="Arial" w:hAnsi="Arial"/>
          <w:b/>
          <w:bCs/>
          <w:color w:val="1F3A68"/>
          <w:sz w:val="30"/>
          <w:szCs w:val="30"/>
        </w:rPr>
        <w:t xml:space="preserve">5. Recent developments (last ~12 months)</w:t>
      </w:r>
    </w:p>
    <w:p>
      <w:pPr>
        <w:pStyle w:val="ListParagraph"/>
        <w:numPr>
          <w:ilvl w:val="0"/>
          <w:numId w:val="2"/>
        </w:numPr>
        <w:spacing w:after="60"/>
      </w:pPr>
      <w:r>
        <w:rPr>
          <w:rFonts w:ascii="Arial" w:cs="Arial" w:eastAsia="Arial" w:hAnsi="Arial"/>
          <w:sz w:val="22"/>
          <w:szCs w:val="22"/>
        </w:rPr>
        <w:t xml:space="preserve">Late 2024: Garna brand unveiled by Mediacube as new B2B product ("Meet Garna, Mediacube's brand-new solution…" — LinkedIn launch post, Dec 2024).</w:t>
      </w:r>
    </w:p>
    <w:p>
      <w:pPr>
        <w:pStyle w:val="ListParagraph"/>
        <w:numPr>
          <w:ilvl w:val="0"/>
          <w:numId w:val="2"/>
        </w:numPr>
        <w:spacing w:after="60"/>
      </w:pPr>
      <w:r>
        <w:rPr>
          <w:rFonts w:ascii="Arial" w:cs="Arial" w:eastAsia="Arial" w:hAnsi="Arial"/>
          <w:sz w:val="22"/>
          <w:szCs w:val="22"/>
        </w:rPr>
        <w:t xml:space="preserve">2025: $65M turnover milestone publicly cited; aggressive hiring (sales managers, account executives, partner operations manager — all Garna-specific roles, signaling commercial scale-up phase).</w:t>
      </w:r>
    </w:p>
    <w:p>
      <w:pPr>
        <w:pStyle w:val="ListParagraph"/>
        <w:numPr>
          <w:ilvl w:val="0"/>
          <w:numId w:val="2"/>
        </w:numPr>
        <w:spacing w:after="60"/>
      </w:pPr>
      <w:r>
        <w:rPr>
          <w:rFonts w:ascii="Arial" w:cs="Arial" w:eastAsia="Arial" w:hAnsi="Arial"/>
          <w:sz w:val="22"/>
          <w:szCs w:val="22"/>
        </w:rPr>
        <w:t xml:space="preserve">2025: Garna mobile apps launched on App Store (id 6749576890) and Google Play (com.mediacube.garna) — contractor self-serve interface and onboarding flow.</w:t>
      </w:r>
    </w:p>
    <w:p>
      <w:pPr>
        <w:pStyle w:val="ListParagraph"/>
        <w:numPr>
          <w:ilvl w:val="0"/>
          <w:numId w:val="2"/>
        </w:numPr>
        <w:spacing w:after="60"/>
      </w:pPr>
      <w:r>
        <w:rPr>
          <w:rFonts w:ascii="Arial" w:cs="Arial" w:eastAsia="Arial" w:hAnsi="Arial"/>
          <w:sz w:val="22"/>
          <w:szCs w:val="22"/>
        </w:rPr>
        <w:t xml:space="preserve">Ongoing: brand-architecture separation underway between Mediacube (creator-services) and Garna (B2B payroll) — implication: they are deliberately positioning Garna as a standalone B2B brand, not a creator-economy add-on. This matters for how we pitch — frame it as a Garna B2B partnership, not a Mediacube creator perk.</w:t>
      </w:r>
    </w:p>
    <w:p>
      <w:pPr>
        <w:pStyle w:val="ListParagraph"/>
        <w:numPr>
          <w:ilvl w:val="0"/>
          <w:numId w:val="2"/>
        </w:numPr>
        <w:spacing w:after="60"/>
      </w:pPr>
      <w:r>
        <w:rPr>
          <w:rFonts w:ascii="Arial" w:cs="Arial" w:eastAsia="Arial" w:hAnsi="Arial"/>
          <w:sz w:val="22"/>
          <w:szCs w:val="22"/>
        </w:rPr>
        <w:t xml:space="preserve">Industry context: Deel raised at $12B in 2024; Remote at $3B+; the contractor-payments space is consolidating, and credit-line products (Garna's wedge) are the new battleground. Accounting / tax / legal services are an obvious adjacency that incumbents have left mostly to fragmented local providers.</w:t>
      </w:r>
    </w:p>
    <w:p>
      <w:pPr>
        <w:pStyle w:val="Heading1"/>
        <w:spacing w:after="140" w:before="240"/>
      </w:pPr>
      <w:r>
        <w:rPr>
          <w:rFonts w:ascii="Arial" w:cs="Arial" w:eastAsia="Arial" w:hAnsi="Arial"/>
          <w:b/>
          <w:bCs/>
          <w:color w:val="1F3A68"/>
          <w:sz w:val="30"/>
          <w:szCs w:val="30"/>
        </w:rPr>
        <w:t xml:space="preserve">6. Probable agenda from their side</w:t>
      </w:r>
    </w:p>
    <w:p>
      <w:pPr>
        <w:pStyle w:val="Heading2"/>
        <w:spacing w:after="100" w:before="180"/>
      </w:pPr>
      <w:r>
        <w:rPr>
          <w:rFonts w:ascii="Arial" w:cs="Arial" w:eastAsia="Arial" w:hAnsi="Arial"/>
          <w:b/>
          <w:bCs/>
          <w:color w:val="2E5B9A"/>
          <w:sz w:val="25"/>
          <w:szCs w:val="25"/>
        </w:rPr>
        <w:t xml:space="preserve">What they probably want to discuss</w:t>
      </w:r>
    </w:p>
    <w:p>
      <w:pPr>
        <w:pStyle w:val="ListParagraph"/>
        <w:numPr>
          <w:ilvl w:val="0"/>
          <w:numId w:val="2"/>
        </w:numPr>
        <w:spacing w:after="60"/>
      </w:pPr>
      <w:r>
        <w:rPr>
          <w:rFonts w:ascii="Arial" w:cs="Arial" w:eastAsia="Arial" w:hAnsi="Arial"/>
          <w:sz w:val="22"/>
          <w:szCs w:val="22"/>
        </w:rPr>
        <w:t xml:space="preserve">Who you are, what your platform is, who's behind it, what stage.</w:t>
      </w:r>
    </w:p>
    <w:p>
      <w:pPr>
        <w:pStyle w:val="ListParagraph"/>
        <w:numPr>
          <w:ilvl w:val="0"/>
          <w:numId w:val="2"/>
        </w:numPr>
        <w:spacing w:after="60"/>
      </w:pPr>
      <w:r>
        <w:rPr>
          <w:rFonts w:ascii="Arial" w:cs="Arial" w:eastAsia="Arial" w:hAnsi="Arial"/>
          <w:sz w:val="22"/>
          <w:szCs w:val="22"/>
        </w:rPr>
        <w:t xml:space="preserve">Why they should care — i.e., what specifically you can solve that they cannot solve internally.</w:t>
      </w:r>
    </w:p>
    <w:p>
      <w:pPr>
        <w:pStyle w:val="ListParagraph"/>
        <w:numPr>
          <w:ilvl w:val="0"/>
          <w:numId w:val="2"/>
        </w:numPr>
        <w:spacing w:after="60"/>
      </w:pPr>
      <w:r>
        <w:rPr>
          <w:rFonts w:ascii="Arial" w:cs="Arial" w:eastAsia="Arial" w:hAnsi="Arial"/>
          <w:sz w:val="22"/>
          <w:szCs w:val="22"/>
        </w:rPr>
        <w:t xml:space="preserve">Whether you bring distribution (your own clients) or you are asking THEM for distribution — this is the single biggest question on their side.</w:t>
      </w:r>
    </w:p>
    <w:p>
      <w:pPr>
        <w:pStyle w:val="ListParagraph"/>
        <w:numPr>
          <w:ilvl w:val="0"/>
          <w:numId w:val="2"/>
        </w:numPr>
        <w:spacing w:after="60"/>
      </w:pPr>
      <w:r>
        <w:rPr>
          <w:rFonts w:ascii="Arial" w:cs="Arial" w:eastAsia="Arial" w:hAnsi="Arial"/>
          <w:sz w:val="22"/>
          <w:szCs w:val="22"/>
        </w:rPr>
        <w:t xml:space="preserve">Geographies you can credibly cover (will they have to repeat the conversation with 30 local accountants per country, or do you offer a centralized service?).</w:t>
      </w:r>
    </w:p>
    <w:p>
      <w:pPr>
        <w:pStyle w:val="ListParagraph"/>
        <w:numPr>
          <w:ilvl w:val="0"/>
          <w:numId w:val="2"/>
        </w:numPr>
        <w:spacing w:after="60"/>
      </w:pPr>
      <w:r>
        <w:rPr>
          <w:rFonts w:ascii="Arial" w:cs="Arial" w:eastAsia="Arial" w:hAnsi="Arial"/>
          <w:sz w:val="22"/>
          <w:szCs w:val="22"/>
        </w:rPr>
        <w:t xml:space="preserve">Liability and compliance posture — if a Garna contractor files wrong tax via your service, who carries the risk?</w:t>
      </w:r>
    </w:p>
    <w:p>
      <w:pPr>
        <w:pStyle w:val="Heading2"/>
        <w:spacing w:after="100" w:before="180"/>
      </w:pPr>
      <w:r>
        <w:rPr>
          <w:rFonts w:ascii="Arial" w:cs="Arial" w:eastAsia="Arial" w:hAnsi="Arial"/>
          <w:b/>
          <w:bCs/>
          <w:color w:val="2E5B9A"/>
          <w:sz w:val="25"/>
          <w:szCs w:val="25"/>
        </w:rPr>
        <w:t xml:space="preserve">What they probably want to avoid</w:t>
      </w:r>
    </w:p>
    <w:p>
      <w:pPr>
        <w:pStyle w:val="ListParagraph"/>
        <w:numPr>
          <w:ilvl w:val="0"/>
          <w:numId w:val="2"/>
        </w:numPr>
        <w:spacing w:after="60"/>
      </w:pPr>
      <w:r>
        <w:rPr>
          <w:rFonts w:ascii="Arial" w:cs="Arial" w:eastAsia="Arial" w:hAnsi="Arial"/>
          <w:sz w:val="22"/>
          <w:szCs w:val="22"/>
        </w:rPr>
        <w:t xml:space="preserve">Anything that pulls their engineering team — they will say "we already have a partnerships roadmap".</w:t>
      </w:r>
    </w:p>
    <w:p>
      <w:pPr>
        <w:pStyle w:val="ListParagraph"/>
        <w:numPr>
          <w:ilvl w:val="0"/>
          <w:numId w:val="2"/>
        </w:numPr>
        <w:spacing w:after="60"/>
      </w:pPr>
      <w:r>
        <w:rPr>
          <w:rFonts w:ascii="Arial" w:cs="Arial" w:eastAsia="Arial" w:hAnsi="Arial"/>
          <w:sz w:val="22"/>
          <w:szCs w:val="22"/>
        </w:rPr>
        <w:t xml:space="preserve">Exclusivity asks on day one — they will not commit before seeing data.</w:t>
      </w:r>
    </w:p>
    <w:p>
      <w:pPr>
        <w:pStyle w:val="ListParagraph"/>
        <w:numPr>
          <w:ilvl w:val="0"/>
          <w:numId w:val="2"/>
        </w:numPr>
        <w:spacing w:after="60"/>
      </w:pPr>
      <w:r>
        <w:rPr>
          <w:rFonts w:ascii="Arial" w:cs="Arial" w:eastAsia="Arial" w:hAnsi="Arial"/>
          <w:sz w:val="22"/>
          <w:szCs w:val="22"/>
        </w:rPr>
        <w:t xml:space="preserve">Anything that touches the Mediacube brand or creator base directly — keep the conversation on the Garna B2B side.</w:t>
      </w:r>
    </w:p>
    <w:p>
      <w:pPr>
        <w:pStyle w:val="Heading2"/>
        <w:spacing w:after="100" w:before="180"/>
      </w:pPr>
      <w:r>
        <w:rPr>
          <w:rFonts w:ascii="Arial" w:cs="Arial" w:eastAsia="Arial" w:hAnsi="Arial"/>
          <w:b/>
          <w:bCs/>
          <w:color w:val="2E5B9A"/>
          <w:sz w:val="25"/>
          <w:szCs w:val="25"/>
        </w:rPr>
        <w:t xml:space="preserve">What they will likely ask you</w:t>
      </w:r>
    </w:p>
    <w:p>
      <w:pPr>
        <w:pStyle w:val="ListParagraph"/>
        <w:numPr>
          <w:ilvl w:val="0"/>
          <w:numId w:val="2"/>
        </w:numPr>
        <w:spacing w:after="60"/>
      </w:pPr>
      <w:r>
        <w:rPr>
          <w:rFonts w:ascii="Arial" w:cs="Arial" w:eastAsia="Arial" w:hAnsi="Arial"/>
          <w:sz w:val="22"/>
          <w:szCs w:val="22"/>
        </w:rPr>
        <w:t xml:space="preserve">"What's your pricing model and how does it compare to local accountants?"</w:t>
      </w:r>
    </w:p>
    <w:p>
      <w:pPr>
        <w:pStyle w:val="ListParagraph"/>
        <w:numPr>
          <w:ilvl w:val="0"/>
          <w:numId w:val="2"/>
        </w:numPr>
        <w:spacing w:after="60"/>
      </w:pPr>
      <w:r>
        <w:rPr>
          <w:rFonts w:ascii="Arial" w:cs="Arial" w:eastAsia="Arial" w:hAnsi="Arial"/>
          <w:sz w:val="22"/>
          <w:szCs w:val="22"/>
        </w:rPr>
        <w:t xml:space="preserve">"Do you have a working product or is this design-stage?"</w:t>
      </w:r>
    </w:p>
    <w:p>
      <w:pPr>
        <w:pStyle w:val="ListParagraph"/>
        <w:numPr>
          <w:ilvl w:val="0"/>
          <w:numId w:val="2"/>
        </w:numPr>
        <w:spacing w:after="60"/>
      </w:pPr>
      <w:r>
        <w:rPr>
          <w:rFonts w:ascii="Arial" w:cs="Arial" w:eastAsia="Arial" w:hAnsi="Arial"/>
          <w:sz w:val="22"/>
          <w:szCs w:val="22"/>
        </w:rPr>
        <w:t xml:space="preserve">"Which countries' tax filings can you actually handle end-to-end today?"</w:t>
      </w:r>
    </w:p>
    <w:p>
      <w:pPr>
        <w:pStyle w:val="ListParagraph"/>
        <w:numPr>
          <w:ilvl w:val="0"/>
          <w:numId w:val="2"/>
        </w:numPr>
        <w:spacing w:after="60"/>
      </w:pPr>
      <w:r>
        <w:rPr>
          <w:rFonts w:ascii="Arial" w:cs="Arial" w:eastAsia="Arial" w:hAnsi="Arial"/>
          <w:sz w:val="22"/>
          <w:szCs w:val="22"/>
        </w:rPr>
        <w:t xml:space="preserve">"What's the conversion math — what % of their contractors / B2B clients would realistically buy?"</w:t>
      </w:r>
    </w:p>
    <w:p>
      <w:r>
        <w:br w:type="page"/>
      </w:r>
    </w:p>
    <w:p>
      <w:pPr>
        <w:pStyle w:val="Heading1"/>
        <w:spacing w:after="140" w:before="240"/>
      </w:pPr>
      <w:r>
        <w:rPr>
          <w:rFonts w:ascii="Arial" w:cs="Arial" w:eastAsia="Arial" w:hAnsi="Arial"/>
          <w:b/>
          <w:bCs/>
          <w:color w:val="1F3A68"/>
          <w:sz w:val="30"/>
          <w:szCs w:val="30"/>
        </w:rPr>
        <w:t xml:space="preserve">7. Talking points (specific sentences, not topics)</w:t>
      </w:r>
    </w:p>
    <w:p>
      <w:pPr>
        <w:spacing w:after="100"/>
      </w:pPr>
      <w:r>
        <w:rPr>
          <w:rFonts w:ascii="Arial" w:cs="Arial" w:eastAsia="Arial" w:hAnsi="Arial"/>
          <w:b w:val="false"/>
          <w:bCs w:val="false"/>
          <w:i/>
          <w:iCs/>
          <w:color w:val="555555"/>
          <w:sz w:val="22"/>
          <w:szCs w:val="22"/>
        </w:rPr>
        <w:t xml:space="preserve">Read each of these out loud before the call — they are sentences, not headlines.</w:t>
      </w:r>
    </w:p>
    <w:p>
      <w:pPr>
        <w:pStyle w:val="ListParagraph"/>
        <w:numPr>
          <w:ilvl w:val="0"/>
          <w:numId w:val="2"/>
        </w:numPr>
        <w:spacing w:after="60"/>
      </w:pPr>
      <w:r>
        <w:rPr>
          <w:rFonts w:ascii="Arial" w:cs="Arial" w:eastAsia="Arial" w:hAnsi="Arial"/>
          <w:b/>
          <w:bCs/>
          <w:i w:val="false"/>
          <w:iCs w:val="false"/>
          <w:sz w:val="22"/>
          <w:szCs w:val="22"/>
        </w:rPr>
        <w:t xml:space="preserve">Opening positioning: </w:t>
      </w:r>
      <w:r>
        <w:rPr>
          <w:rFonts w:ascii="Arial" w:cs="Arial" w:eastAsia="Arial" w:hAnsi="Arial"/>
          <w:b w:val="false"/>
          <w:bCs w:val="false"/>
          <w:i w:val="false"/>
          <w:iCs w:val="false"/>
          <w:sz w:val="22"/>
          <w:szCs w:val="22"/>
        </w:rPr>
        <w:t xml:space="preserve">"Garna solved the hardest part — global money movement to contractors. The unsolved problem on the same workflow is what those contractors do with that money the day after — declaring it, paying taxes, staying compliant in their home country. Today they figure that out alone, badly, with a local bookkeeper. That's a recurring annuity revenue stream sitting on top of your existing rails."</w:t>
      </w:r>
    </w:p>
    <w:p>
      <w:pPr>
        <w:pStyle w:val="ListParagraph"/>
        <w:numPr>
          <w:ilvl w:val="0"/>
          <w:numId w:val="2"/>
        </w:numPr>
        <w:spacing w:after="60"/>
      </w:pPr>
      <w:r>
        <w:rPr>
          <w:rFonts w:ascii="Arial" w:cs="Arial" w:eastAsia="Arial" w:hAnsi="Arial"/>
          <w:b/>
          <w:bCs/>
          <w:i w:val="false"/>
          <w:iCs w:val="false"/>
          <w:sz w:val="22"/>
          <w:szCs w:val="22"/>
        </w:rPr>
        <w:t xml:space="preserve">Quantification anchor: </w:t>
      </w:r>
      <w:r>
        <w:rPr>
          <w:rFonts w:ascii="Arial" w:cs="Arial" w:eastAsia="Arial" w:hAnsi="Arial"/>
          <w:b w:val="false"/>
          <w:bCs w:val="false"/>
          <w:i w:val="false"/>
          <w:iCs w:val="false"/>
          <w:sz w:val="22"/>
          <w:szCs w:val="22"/>
        </w:rPr>
        <w:t xml:space="preserve">"If even 10% of your contractor base in CEE / SEE buys a €40/month basic bookkeeping subscription, that's roughly €0.5M ARR — and you've also reduced churn because contractors who have their tax-residence sorted stay on platforms longer."</w:t>
      </w:r>
    </w:p>
    <w:p>
      <w:pPr>
        <w:pStyle w:val="ListParagraph"/>
        <w:numPr>
          <w:ilvl w:val="0"/>
          <w:numId w:val="2"/>
        </w:numPr>
        <w:spacing w:after="60"/>
      </w:pPr>
      <w:r>
        <w:rPr>
          <w:rFonts w:ascii="Arial" w:cs="Arial" w:eastAsia="Arial" w:hAnsi="Arial"/>
          <w:b/>
          <w:bCs/>
          <w:i w:val="false"/>
          <w:iCs w:val="false"/>
          <w:sz w:val="22"/>
          <w:szCs w:val="22"/>
        </w:rPr>
        <w:t xml:space="preserve">Why Garna can't easily build this themselves: </w:t>
      </w:r>
      <w:r>
        <w:rPr>
          <w:rFonts w:ascii="Arial" w:cs="Arial" w:eastAsia="Arial" w:hAnsi="Arial"/>
          <w:b w:val="false"/>
          <w:bCs w:val="false"/>
          <w:i w:val="false"/>
          <w:iCs w:val="false"/>
          <w:sz w:val="22"/>
          <w:szCs w:val="22"/>
        </w:rPr>
        <w:t xml:space="preserve">"Local tax filing is a country-by-country compliance product — Italy, Poland, Spain, Greece each need a licensed local professional in the loop. You'd need 15+ jurisdiction-licensed firms to cover your top contractor footprint. We're already building that federation, country by country, with AI-powered standardization on top of regulated local entities."</w:t>
      </w:r>
    </w:p>
    <w:p>
      <w:pPr>
        <w:pStyle w:val="ListParagraph"/>
        <w:numPr>
          <w:ilvl w:val="0"/>
          <w:numId w:val="2"/>
        </w:numPr>
        <w:spacing w:after="60"/>
      </w:pPr>
      <w:r>
        <w:rPr>
          <w:rFonts w:ascii="Arial" w:cs="Arial" w:eastAsia="Arial" w:hAnsi="Arial"/>
          <w:b/>
          <w:bCs/>
          <w:i w:val="false"/>
          <w:iCs w:val="false"/>
          <w:sz w:val="22"/>
          <w:szCs w:val="22"/>
        </w:rPr>
        <w:t xml:space="preserve">The B2B-client angle: </w:t>
      </w:r>
      <w:r>
        <w:rPr>
          <w:rFonts w:ascii="Arial" w:cs="Arial" w:eastAsia="Arial" w:hAnsi="Arial"/>
          <w:b w:val="false"/>
          <w:bCs w:val="false"/>
          <w:i w:val="false"/>
          <w:iCs w:val="false"/>
          <w:sz w:val="22"/>
          <w:szCs w:val="22"/>
        </w:rPr>
        <w:t xml:space="preserve">"On the other side of your platform — your enterprise clients paying contractors — they have their own bookkeeping problem: classifying contractor payments, withholding, intercompany invoicing, end-of-year contractor reporting. We can plug into the same partnership and serve both sides."</w:t>
      </w:r>
    </w:p>
    <w:p>
      <w:pPr>
        <w:pStyle w:val="ListParagraph"/>
        <w:numPr>
          <w:ilvl w:val="0"/>
          <w:numId w:val="2"/>
        </w:numPr>
        <w:spacing w:after="60"/>
      </w:pPr>
      <w:r>
        <w:rPr>
          <w:rFonts w:ascii="Arial" w:cs="Arial" w:eastAsia="Arial" w:hAnsi="Arial"/>
          <w:b/>
          <w:bCs/>
          <w:i w:val="false"/>
          <w:iCs w:val="false"/>
          <w:sz w:val="22"/>
          <w:szCs w:val="22"/>
        </w:rPr>
        <w:t xml:space="preserve">Why now (regulatory wedge): </w:t>
      </w:r>
      <w:r>
        <w:rPr>
          <w:rFonts w:ascii="Arial" w:cs="Arial" w:eastAsia="Arial" w:hAnsi="Arial"/>
          <w:b w:val="false"/>
          <w:bCs w:val="false"/>
          <w:i w:val="false"/>
          <w:iCs w:val="false"/>
          <w:sz w:val="22"/>
          <w:szCs w:val="22"/>
        </w:rPr>
        <w:t xml:space="preserve">"Poland's KSeF e-invoicing mandate fully kicks in this year for SMBs and micro businesses. Italy's STP regime has just made it materially easier to take outside capital into accounting firms. The window to build the regional aggregator is open — and partnering with a payment platform that already touches the customer is the fastest way to acquire."</w:t>
      </w:r>
    </w:p>
    <w:p>
      <w:pPr>
        <w:pStyle w:val="ListParagraph"/>
        <w:numPr>
          <w:ilvl w:val="0"/>
          <w:numId w:val="2"/>
        </w:numPr>
        <w:spacing w:after="60"/>
      </w:pPr>
      <w:r>
        <w:rPr>
          <w:rFonts w:ascii="Arial" w:cs="Arial" w:eastAsia="Arial" w:hAnsi="Arial"/>
          <w:b/>
          <w:bCs/>
          <w:i w:val="false"/>
          <w:iCs w:val="false"/>
          <w:sz w:val="22"/>
          <w:szCs w:val="22"/>
        </w:rPr>
        <w:t xml:space="preserve">What we want (light, then heavier): </w:t>
      </w:r>
      <w:r>
        <w:rPr>
          <w:rFonts w:ascii="Arial" w:cs="Arial" w:eastAsia="Arial" w:hAnsi="Arial"/>
          <w:b w:val="false"/>
          <w:bCs w:val="false"/>
          <w:i w:val="false"/>
          <w:iCs w:val="false"/>
          <w:sz w:val="22"/>
          <w:szCs w:val="22"/>
        </w:rPr>
        <w:t xml:space="preserve">"For today — agreement to scope a paid pilot with 50–200 of your contractors and 3–5 of your B2B clients in one country, ideally Poland or Italy where we have strongest coverage. We'll fund the pilot tooling, you provide the channel. After 60–90 days we have real conversion data and decide on a rev-share partnership."</w:t>
      </w:r>
    </w:p>
    <w:p>
      <w:pPr>
        <w:pStyle w:val="ListParagraph"/>
        <w:numPr>
          <w:ilvl w:val="0"/>
          <w:numId w:val="2"/>
        </w:numPr>
        <w:spacing w:after="60"/>
      </w:pPr>
      <w:r>
        <w:rPr>
          <w:rFonts w:ascii="Arial" w:cs="Arial" w:eastAsia="Arial" w:hAnsi="Arial"/>
          <w:b/>
          <w:bCs/>
          <w:i w:val="false"/>
          <w:iCs w:val="false"/>
          <w:sz w:val="22"/>
          <w:szCs w:val="22"/>
        </w:rPr>
        <w:t xml:space="preserve">Mutual win framing: </w:t>
      </w:r>
      <w:r>
        <w:rPr>
          <w:rFonts w:ascii="Arial" w:cs="Arial" w:eastAsia="Arial" w:hAnsi="Arial"/>
          <w:b w:val="false"/>
          <w:bCs w:val="false"/>
          <w:i w:val="false"/>
          <w:iCs w:val="false"/>
          <w:sz w:val="22"/>
          <w:szCs w:val="22"/>
        </w:rPr>
        <w:t xml:space="preserve">"For Garna this is incremental margin per existing user, reduced contractor churn, and a defensive moat against Deel building this themselves. For us it's distribution we can't buy. Neither of us can do it alone — Garna doesn't want to become an accounting firm, and we don't want to become a payment-rails company."</w:t>
      </w:r>
    </w:p>
    <w:p>
      <w:pPr>
        <w:pStyle w:val="Heading1"/>
        <w:spacing w:after="140" w:before="240"/>
      </w:pPr>
      <w:r>
        <w:rPr>
          <w:rFonts w:ascii="Arial" w:cs="Arial" w:eastAsia="Arial" w:hAnsi="Arial"/>
          <w:b/>
          <w:bCs/>
          <w:color w:val="1F3A68"/>
          <w:sz w:val="30"/>
          <w:szCs w:val="30"/>
        </w:rPr>
        <w:t xml:space="preserve">8. Open questions to surface (whose answers change our approach)</w:t>
      </w:r>
    </w:p>
    <w:p>
      <w:pPr>
        <w:pStyle w:val="ListParagraph"/>
        <w:numPr>
          <w:ilvl w:val="0"/>
          <w:numId w:val="2"/>
        </w:numPr>
        <w:spacing w:after="60"/>
      </w:pPr>
      <w:r>
        <w:rPr>
          <w:rFonts w:ascii="Arial" w:cs="Arial" w:eastAsia="Arial" w:hAnsi="Arial"/>
          <w:b/>
          <w:bCs/>
          <w:i w:val="false"/>
          <w:iCs w:val="false"/>
          <w:sz w:val="22"/>
          <w:szCs w:val="22"/>
        </w:rPr>
        <w:t xml:space="preserve">Concentration: </w:t>
      </w:r>
      <w:r>
        <w:rPr>
          <w:rFonts w:ascii="Arial" w:cs="Arial" w:eastAsia="Arial" w:hAnsi="Arial"/>
          <w:b w:val="false"/>
          <w:bCs w:val="false"/>
          <w:i w:val="false"/>
          <w:iCs w:val="false"/>
          <w:sz w:val="22"/>
          <w:szCs w:val="22"/>
        </w:rPr>
        <w:t xml:space="preserve">Which 3 countries account for the largest share of your contractor payouts? (Answer determines which jurisdictions we prioritize for the pilot — this is the single highest-value question.)</w:t>
      </w:r>
    </w:p>
    <w:p>
      <w:pPr>
        <w:pStyle w:val="ListParagraph"/>
        <w:numPr>
          <w:ilvl w:val="0"/>
          <w:numId w:val="2"/>
        </w:numPr>
        <w:spacing w:after="60"/>
      </w:pPr>
      <w:r>
        <w:rPr>
          <w:rFonts w:ascii="Arial" w:cs="Arial" w:eastAsia="Arial" w:hAnsi="Arial"/>
          <w:b/>
          <w:bCs/>
          <w:i w:val="false"/>
          <w:iCs w:val="false"/>
          <w:sz w:val="22"/>
          <w:szCs w:val="22"/>
        </w:rPr>
        <w:t xml:space="preserve">Mix: </w:t>
      </w:r>
      <w:r>
        <w:rPr>
          <w:rFonts w:ascii="Arial" w:cs="Arial" w:eastAsia="Arial" w:hAnsi="Arial"/>
          <w:b w:val="false"/>
          <w:bCs w:val="false"/>
          <w:i w:val="false"/>
          <w:iCs w:val="false"/>
          <w:sz w:val="22"/>
          <w:szCs w:val="22"/>
        </w:rPr>
        <w:t xml:space="preserve">What's the rough split between B2B "payer" customers and individual "payee" contractors in terms of where you make economics? (Tells us which side to design the product around.)</w:t>
      </w:r>
    </w:p>
    <w:p>
      <w:pPr>
        <w:pStyle w:val="ListParagraph"/>
        <w:numPr>
          <w:ilvl w:val="0"/>
          <w:numId w:val="2"/>
        </w:numPr>
        <w:spacing w:after="60"/>
      </w:pPr>
      <w:r>
        <w:rPr>
          <w:rFonts w:ascii="Arial" w:cs="Arial" w:eastAsia="Arial" w:hAnsi="Arial"/>
          <w:b/>
          <w:bCs/>
          <w:i w:val="false"/>
          <w:iCs w:val="false"/>
          <w:sz w:val="22"/>
          <w:szCs w:val="22"/>
        </w:rPr>
        <w:t xml:space="preserve">Churn signal: </w:t>
      </w:r>
      <w:r>
        <w:rPr>
          <w:rFonts w:ascii="Arial" w:cs="Arial" w:eastAsia="Arial" w:hAnsi="Arial"/>
          <w:b w:val="false"/>
          <w:bCs w:val="false"/>
          <w:i w:val="false"/>
          <w:iCs w:val="false"/>
          <w:sz w:val="22"/>
          <w:szCs w:val="22"/>
        </w:rPr>
        <w:t xml:space="preserve">Do you see contractor churn correlating with country of tax residence or with payment-method choice? (If yes, our service is a direct churn-reduction tool, which materially changes the rev-share negotiation.)</w:t>
      </w:r>
    </w:p>
    <w:p>
      <w:pPr>
        <w:pStyle w:val="ListParagraph"/>
        <w:numPr>
          <w:ilvl w:val="0"/>
          <w:numId w:val="2"/>
        </w:numPr>
        <w:spacing w:after="60"/>
      </w:pPr>
      <w:r>
        <w:rPr>
          <w:rFonts w:ascii="Arial" w:cs="Arial" w:eastAsia="Arial" w:hAnsi="Arial"/>
          <w:b/>
          <w:bCs/>
          <w:i w:val="false"/>
          <w:iCs w:val="false"/>
          <w:sz w:val="22"/>
          <w:szCs w:val="22"/>
        </w:rPr>
        <w:t xml:space="preserve">Existing partner attempts: </w:t>
      </w:r>
      <w:r>
        <w:rPr>
          <w:rFonts w:ascii="Arial" w:cs="Arial" w:eastAsia="Arial" w:hAnsi="Arial"/>
          <w:b w:val="false"/>
          <w:bCs w:val="false"/>
          <w:i w:val="false"/>
          <w:iCs w:val="false"/>
          <w:sz w:val="22"/>
          <w:szCs w:val="22"/>
        </w:rPr>
        <w:t xml:space="preserve">Have you already tried a local accounting partner in any country, formally or informally? What did or didn't work? (Avoids us re-pitching something they've already rejected.)</w:t>
      </w:r>
    </w:p>
    <w:p>
      <w:pPr>
        <w:pStyle w:val="ListParagraph"/>
        <w:numPr>
          <w:ilvl w:val="0"/>
          <w:numId w:val="2"/>
        </w:numPr>
        <w:spacing w:after="60"/>
      </w:pPr>
      <w:r>
        <w:rPr>
          <w:rFonts w:ascii="Arial" w:cs="Arial" w:eastAsia="Arial" w:hAnsi="Arial"/>
          <w:b/>
          <w:bCs/>
          <w:i w:val="false"/>
          <w:iCs w:val="false"/>
          <w:sz w:val="22"/>
          <w:szCs w:val="22"/>
        </w:rPr>
        <w:t xml:space="preserve">Engineering appetite: </w:t>
      </w:r>
      <w:r>
        <w:rPr>
          <w:rFonts w:ascii="Arial" w:cs="Arial" w:eastAsia="Arial" w:hAnsi="Arial"/>
          <w:b w:val="false"/>
          <w:bCs w:val="false"/>
          <w:i w:val="false"/>
          <w:iCs w:val="false"/>
          <w:sz w:val="22"/>
          <w:szCs w:val="22"/>
        </w:rPr>
        <w:t xml:space="preserve">If we agreed on a pilot, what's the lightest possible integration on your side — e.g. an in-app banner that links out, vs. embedded onboarding, vs. shared account API? (Sets the scope realistically.)</w:t>
      </w:r>
    </w:p>
    <w:p>
      <w:pPr>
        <w:pStyle w:val="ListParagraph"/>
        <w:numPr>
          <w:ilvl w:val="0"/>
          <w:numId w:val="2"/>
        </w:numPr>
        <w:spacing w:after="60"/>
      </w:pPr>
      <w:r>
        <w:rPr>
          <w:rFonts w:ascii="Arial" w:cs="Arial" w:eastAsia="Arial" w:hAnsi="Arial"/>
          <w:b/>
          <w:bCs/>
          <w:i w:val="false"/>
          <w:iCs w:val="false"/>
          <w:sz w:val="22"/>
          <w:szCs w:val="22"/>
        </w:rPr>
        <w:t xml:space="preserve">Compliance posture: </w:t>
      </w:r>
      <w:r>
        <w:rPr>
          <w:rFonts w:ascii="Arial" w:cs="Arial" w:eastAsia="Arial" w:hAnsi="Arial"/>
          <w:b w:val="false"/>
          <w:bCs w:val="false"/>
          <w:i w:val="false"/>
          <w:iCs w:val="false"/>
          <w:sz w:val="22"/>
          <w:szCs w:val="22"/>
        </w:rPr>
        <w:t xml:space="preserve">Who owns the contractor-side tax-advice liability today in your terms? (If "the contractor" — we slot in cleanly. If "Garna explicitly disclaims" — we may need a separate end-user agreement signed directly with us.)</w:t>
      </w:r>
    </w:p>
    <w:p>
      <w:pPr>
        <w:pStyle w:val="Heading1"/>
        <w:spacing w:after="140" w:before="240"/>
      </w:pPr>
      <w:r>
        <w:rPr>
          <w:rFonts w:ascii="Arial" w:cs="Arial" w:eastAsia="Arial" w:hAnsi="Arial"/>
          <w:b/>
          <w:bCs/>
          <w:color w:val="1F3A68"/>
          <w:sz w:val="30"/>
          <w:szCs w:val="30"/>
        </w:rPr>
        <w:t xml:space="preserve">9. Risks &amp; sensitivities (what to avoid raising unprompted)</w:t>
      </w:r>
    </w:p>
    <w:p>
      <w:pPr>
        <w:pStyle w:val="ListParagraph"/>
        <w:numPr>
          <w:ilvl w:val="0"/>
          <w:numId w:val="2"/>
        </w:numPr>
        <w:spacing w:after="60"/>
      </w:pPr>
      <w:r>
        <w:rPr>
          <w:rFonts w:ascii="Arial" w:cs="Arial" w:eastAsia="Arial" w:hAnsi="Arial"/>
          <w:b/>
          <w:bCs/>
          <w:i w:val="false"/>
          <w:iCs w:val="false"/>
          <w:sz w:val="22"/>
          <w:szCs w:val="22"/>
        </w:rPr>
        <w:t xml:space="preserve">Mediacube's CIS / Ukrainian origin and 2022 transition: </w:t>
      </w:r>
      <w:r>
        <w:rPr>
          <w:rFonts w:ascii="Arial" w:cs="Arial" w:eastAsia="Arial" w:hAnsi="Arial"/>
          <w:b w:val="false"/>
          <w:bCs w:val="false"/>
          <w:i w:val="false"/>
          <w:iCs w:val="false"/>
          <w:sz w:val="22"/>
          <w:szCs w:val="22"/>
        </w:rPr>
        <w:t xml:space="preserve">the group has restructured to a Cyprus / Canadian footprint and explicitly avoids the topic. Do not raise Russia-exposure questions; if they raise it, listen and align with their framing.</w:t>
      </w:r>
    </w:p>
    <w:p>
      <w:pPr>
        <w:pStyle w:val="ListParagraph"/>
        <w:numPr>
          <w:ilvl w:val="0"/>
          <w:numId w:val="2"/>
        </w:numPr>
        <w:spacing w:after="60"/>
      </w:pPr>
      <w:r>
        <w:rPr>
          <w:rFonts w:ascii="Arial" w:cs="Arial" w:eastAsia="Arial" w:hAnsi="Arial"/>
          <w:b/>
          <w:bCs/>
          <w:i w:val="false"/>
          <w:iCs w:val="false"/>
          <w:sz w:val="22"/>
          <w:szCs w:val="22"/>
        </w:rPr>
        <w:t xml:space="preserve">Deel comparison: </w:t>
      </w:r>
      <w:r>
        <w:rPr>
          <w:rFonts w:ascii="Arial" w:cs="Arial" w:eastAsia="Arial" w:hAnsi="Arial"/>
          <w:b w:val="false"/>
          <w:bCs w:val="false"/>
          <w:i w:val="false"/>
          <w:iCs w:val="false"/>
          <w:sz w:val="22"/>
          <w:szCs w:val="22"/>
        </w:rPr>
        <w:t xml:space="preserve">Don't position us as "Deel for accounting" — Deel is a direct strategic competitor on the payroll axis, and the comparison will be perceived as either ignorant of the market or unintentionally hostile. Use Tipalti or Papaya as your reference if you need to make a comparison.</w:t>
      </w:r>
    </w:p>
    <w:p>
      <w:pPr>
        <w:pStyle w:val="ListParagraph"/>
        <w:numPr>
          <w:ilvl w:val="0"/>
          <w:numId w:val="2"/>
        </w:numPr>
        <w:spacing w:after="60"/>
      </w:pPr>
      <w:r>
        <w:rPr>
          <w:rFonts w:ascii="Arial" w:cs="Arial" w:eastAsia="Arial" w:hAnsi="Arial"/>
          <w:b/>
          <w:bCs/>
          <w:i w:val="false"/>
          <w:iCs w:val="false"/>
          <w:sz w:val="22"/>
          <w:szCs w:val="22"/>
        </w:rPr>
        <w:t xml:space="preserve">Don't try to sell to Mediacube creators directly: </w:t>
      </w:r>
      <w:r>
        <w:rPr>
          <w:rFonts w:ascii="Arial" w:cs="Arial" w:eastAsia="Arial" w:hAnsi="Arial"/>
          <w:b w:val="false"/>
          <w:bCs w:val="false"/>
          <w:i w:val="false"/>
          <w:iCs w:val="false"/>
          <w:sz w:val="22"/>
          <w:szCs w:val="22"/>
        </w:rPr>
        <w:t xml:space="preserve">the creator base is the crown jewel. Any pitch that smells like "give us access to your 7,000 creators" will be a hard no. Frame everything as a Garna B2B partnership, with Mediacube creators only as a downstream possibility "later, if it works on the Garna B2B side".</w:t>
      </w:r>
    </w:p>
    <w:p>
      <w:pPr>
        <w:pStyle w:val="ListParagraph"/>
        <w:numPr>
          <w:ilvl w:val="0"/>
          <w:numId w:val="2"/>
        </w:numPr>
        <w:spacing w:after="60"/>
      </w:pPr>
      <w:r>
        <w:rPr>
          <w:rFonts w:ascii="Arial" w:cs="Arial" w:eastAsia="Arial" w:hAnsi="Arial"/>
          <w:b/>
          <w:bCs/>
          <w:i w:val="false"/>
          <w:iCs w:val="false"/>
          <w:sz w:val="22"/>
          <w:szCs w:val="22"/>
        </w:rPr>
        <w:t xml:space="preserve">Avoid talking pricing in detail: </w:t>
      </w:r>
      <w:r>
        <w:rPr>
          <w:rFonts w:ascii="Arial" w:cs="Arial" w:eastAsia="Arial" w:hAnsi="Arial"/>
          <w:b w:val="false"/>
          <w:bCs w:val="false"/>
          <w:i w:val="false"/>
          <w:iCs w:val="false"/>
          <w:sz w:val="22"/>
          <w:szCs w:val="22"/>
        </w:rPr>
        <w:t xml:space="preserve">first meeting should anchor on the value-creation logic and conversion math, not list prices. Pricing horse-trading happens after they've internally agreed there's a there there.</w:t>
      </w:r>
    </w:p>
    <w:p>
      <w:pPr>
        <w:pStyle w:val="ListParagraph"/>
        <w:numPr>
          <w:ilvl w:val="0"/>
          <w:numId w:val="2"/>
        </w:numPr>
        <w:spacing w:after="60"/>
      </w:pPr>
      <w:r>
        <w:rPr>
          <w:rFonts w:ascii="Arial" w:cs="Arial" w:eastAsia="Arial" w:hAnsi="Arial"/>
          <w:b/>
          <w:bCs/>
          <w:i w:val="false"/>
          <w:iCs w:val="false"/>
          <w:sz w:val="22"/>
          <w:szCs w:val="22"/>
        </w:rPr>
        <w:t xml:space="preserve">AML / KYC: </w:t>
      </w:r>
      <w:r>
        <w:rPr>
          <w:rFonts w:ascii="Arial" w:cs="Arial" w:eastAsia="Arial" w:hAnsi="Arial"/>
          <w:b w:val="false"/>
          <w:bCs w:val="false"/>
          <w:i w:val="false"/>
          <w:iCs w:val="false"/>
          <w:sz w:val="22"/>
          <w:szCs w:val="22"/>
        </w:rPr>
        <w:t xml:space="preserve">Garna runs on a FINTRAC MSB license — they take compliance seriously. If you have any past-life regulatory issues in your background, expect (and prepare for) a diligence question on it. Be ready with a clean answer.</w:t>
      </w:r>
    </w:p>
    <w:p>
      <w:pPr>
        <w:pStyle w:val="Heading1"/>
        <w:spacing w:after="140" w:before="240"/>
      </w:pPr>
      <w:r>
        <w:rPr>
          <w:rFonts w:ascii="Arial" w:cs="Arial" w:eastAsia="Arial" w:hAnsi="Arial"/>
          <w:b/>
          <w:bCs/>
          <w:color w:val="1F3A68"/>
          <w:sz w:val="30"/>
          <w:szCs w:val="30"/>
        </w:rPr>
        <w:t xml:space="preserve">10. 30-minute pre-call checklist</w:t>
      </w:r>
    </w:p>
    <w:p>
      <w:pPr>
        <w:pStyle w:val="ListParagraph"/>
        <w:numPr>
          <w:ilvl w:val="0"/>
          <w:numId w:val="2"/>
        </w:numPr>
        <w:spacing w:after="60"/>
      </w:pPr>
      <w:r>
        <w:rPr>
          <w:rFonts w:ascii="Arial" w:cs="Arial" w:eastAsia="Arial" w:hAnsi="Arial"/>
          <w:sz w:val="22"/>
          <w:szCs w:val="22"/>
        </w:rPr>
        <w:t xml:space="preserve">Confirm attendee list 48h before — message via LinkedIn (Kolomensky / Bychenok).</w:t>
      </w:r>
    </w:p>
    <w:p>
      <w:pPr>
        <w:pStyle w:val="ListParagraph"/>
        <w:numPr>
          <w:ilvl w:val="0"/>
          <w:numId w:val="2"/>
        </w:numPr>
        <w:spacing w:after="60"/>
      </w:pPr>
      <w:r>
        <w:rPr>
          <w:rFonts w:ascii="Arial" w:cs="Arial" w:eastAsia="Arial" w:hAnsi="Arial"/>
          <w:sz w:val="22"/>
          <w:szCs w:val="22"/>
        </w:rPr>
        <w:t xml:space="preserve">Pull the latest 5 LinkedIn posts from Vlad Kolomensky to catch any signals on roadmap / focus countries.</w:t>
      </w:r>
    </w:p>
    <w:p>
      <w:pPr>
        <w:pStyle w:val="ListParagraph"/>
        <w:numPr>
          <w:ilvl w:val="0"/>
          <w:numId w:val="2"/>
        </w:numPr>
        <w:spacing w:after="60"/>
      </w:pPr>
      <w:r>
        <w:rPr>
          <w:rFonts w:ascii="Arial" w:cs="Arial" w:eastAsia="Arial" w:hAnsi="Arial"/>
          <w:sz w:val="22"/>
          <w:szCs w:val="22"/>
        </w:rPr>
        <w:t xml:space="preserve">Have ready, in your screen-share-able tab: a one-sentence company description + a 1-line founder bio + the conversion-math anchor (the €0.5M ARR / 10% / €40-month example).</w:t>
      </w:r>
    </w:p>
    <w:p>
      <w:pPr>
        <w:pStyle w:val="ListParagraph"/>
        <w:numPr>
          <w:ilvl w:val="0"/>
          <w:numId w:val="2"/>
        </w:numPr>
        <w:spacing w:after="60"/>
      </w:pPr>
      <w:r>
        <w:rPr>
          <w:rFonts w:ascii="Arial" w:cs="Arial" w:eastAsia="Arial" w:hAnsi="Arial"/>
          <w:sz w:val="22"/>
          <w:szCs w:val="22"/>
        </w:rPr>
        <w:t xml:space="preserve">Prepare a 1-slide visual: the two-sided graph (Garna B2B clients ↔ Garna contractors), with our service plugging into both sides — to show on screen-share if the conversation needs grounding.</w:t>
      </w:r>
    </w:p>
    <w:p>
      <w:pPr>
        <w:pStyle w:val="ListParagraph"/>
        <w:numPr>
          <w:ilvl w:val="0"/>
          <w:numId w:val="2"/>
        </w:numPr>
        <w:spacing w:after="60"/>
      </w:pPr>
      <w:r>
        <w:rPr>
          <w:rFonts w:ascii="Arial" w:cs="Arial" w:eastAsia="Arial" w:hAnsi="Arial"/>
          <w:sz w:val="22"/>
          <w:szCs w:val="22"/>
        </w:rPr>
        <w:t xml:space="preserve">Decide your single most important answer in advance: if they ask "what's the one thing you want from us today" — answer in 12 seconds, with the pilot scope sentence above.</w:t>
      </w:r>
    </w:p>
    <w:p>
      <w:pPr>
        <w:pBdr>
          <w:bottom w:val="single" w:color="BFD3E8" w:sz="6" w:space="1"/>
        </w:pBdr>
        <w:spacing w:after="60" w:before="60"/>
      </w:pPr>
      <w:r>
        <w:t xml:space="preserve"/>
      </w:r>
    </w:p>
    <w:p>
      <w:pPr>
        <w:pStyle w:val="Heading2"/>
        <w:spacing w:after="100" w:before="180"/>
      </w:pPr>
      <w:r>
        <w:rPr>
          <w:rFonts w:ascii="Arial" w:cs="Arial" w:eastAsia="Arial" w:hAnsi="Arial"/>
          <w:b/>
          <w:bCs/>
          <w:color w:val="2E5B9A"/>
          <w:sz w:val="25"/>
          <w:szCs w:val="25"/>
        </w:rPr>
        <w:t xml:space="preserve">Sources</w:t>
      </w:r>
    </w:p>
    <w:p>
      <w:pPr>
        <w:pStyle w:val="ListParagraph"/>
        <w:numPr>
          <w:ilvl w:val="0"/>
          <w:numId w:val="2"/>
        </w:numPr>
        <w:spacing w:after="60"/>
      </w:pPr>
      <w:r>
        <w:rPr>
          <w:rFonts w:ascii="Arial" w:cs="Arial" w:eastAsia="Arial" w:hAnsi="Arial"/>
          <w:sz w:val="22"/>
          <w:szCs w:val="22"/>
        </w:rPr>
        <w:t xml:space="preserve">garna.io/en — product positioning, country count, currency support, Payoneer / FINTRAC disclosures (T1).</w:t>
      </w:r>
    </w:p>
    <w:p>
      <w:pPr>
        <w:pStyle w:val="ListParagraph"/>
        <w:numPr>
          <w:ilvl w:val="0"/>
          <w:numId w:val="2"/>
        </w:numPr>
        <w:spacing w:after="60"/>
      </w:pPr>
      <w:r>
        <w:rPr>
          <w:rFonts w:ascii="Arial" w:cs="Arial" w:eastAsia="Arial" w:hAnsi="Arial"/>
          <w:sz w:val="22"/>
          <w:szCs w:val="22"/>
        </w:rPr>
        <w:t xml:space="preserve">mediacube.io/en/about — Mediacube history, 2015 founding, YouTube MCN origin, 7,000+ creators figure (T1).</w:t>
      </w:r>
    </w:p>
    <w:p>
      <w:pPr>
        <w:pStyle w:val="ListParagraph"/>
        <w:numPr>
          <w:ilvl w:val="0"/>
          <w:numId w:val="2"/>
        </w:numPr>
        <w:spacing w:after="60"/>
      </w:pPr>
      <w:r>
        <w:rPr>
          <w:rFonts w:ascii="Arial" w:cs="Arial" w:eastAsia="Arial" w:hAnsi="Arial"/>
          <w:sz w:val="22"/>
          <w:szCs w:val="22"/>
        </w:rPr>
        <w:t xml:space="preserve">mediacube.io/en/vacancies — open Garna roles confirming sales scale-up phase (T1).</w:t>
      </w:r>
    </w:p>
    <w:p>
      <w:pPr>
        <w:pStyle w:val="ListParagraph"/>
        <w:numPr>
          <w:ilvl w:val="0"/>
          <w:numId w:val="2"/>
        </w:numPr>
        <w:spacing w:after="60"/>
      </w:pPr>
      <w:r>
        <w:rPr>
          <w:rFonts w:ascii="Arial" w:cs="Arial" w:eastAsia="Arial" w:hAnsi="Arial"/>
          <w:sz w:val="22"/>
          <w:szCs w:val="22"/>
        </w:rPr>
        <w:t xml:space="preserve">LinkedIn — Vlad Kolomensky (CEO Garna / CBDO Mediacube); Michael Bychenok (CEO Mediacube); Mediacube company page (T2).</w:t>
      </w:r>
    </w:p>
    <w:p>
      <w:pPr>
        <w:pStyle w:val="ListParagraph"/>
        <w:numPr>
          <w:ilvl w:val="0"/>
          <w:numId w:val="2"/>
        </w:numPr>
        <w:spacing w:after="60"/>
      </w:pPr>
      <w:r>
        <w:rPr>
          <w:rFonts w:ascii="Arial" w:cs="Arial" w:eastAsia="Arial" w:hAnsi="Arial"/>
          <w:sz w:val="22"/>
          <w:szCs w:val="22"/>
        </w:rPr>
        <w:t xml:space="preserve">App Store (id 6749576890) and Google Play (com.mediacube.garna) — mobile app launch confirmation, 2025 (T1).</w:t>
      </w:r>
    </w:p>
    <w:p>
      <w:pPr>
        <w:pStyle w:val="ListParagraph"/>
        <w:numPr>
          <w:ilvl w:val="0"/>
          <w:numId w:val="2"/>
        </w:numPr>
        <w:spacing w:after="60"/>
      </w:pPr>
      <w:r>
        <w:rPr>
          <w:rFonts w:ascii="Arial" w:cs="Arial" w:eastAsia="Arial" w:hAnsi="Arial"/>
          <w:sz w:val="22"/>
          <w:szCs w:val="22"/>
        </w:rPr>
        <w:t xml:space="preserve">LinkedIn launch post Dec 2024 — "Meet Garna, Mediacube's brand-new solution" (T2).</w:t>
      </w:r>
    </w:p>
    <w:p>
      <w:pPr>
        <w:pStyle w:val="ListParagraph"/>
        <w:numPr>
          <w:ilvl w:val="0"/>
          <w:numId w:val="2"/>
        </w:numPr>
        <w:spacing w:after="60"/>
      </w:pPr>
      <w:r>
        <w:rPr>
          <w:rFonts w:ascii="Arial" w:cs="Arial" w:eastAsia="Arial" w:hAnsi="Arial"/>
          <w:sz w:val="22"/>
          <w:szCs w:val="22"/>
        </w:rPr>
        <w:t xml:space="preserve">Wikipedia / Grokipedia — Mediacube founding context, Cyprus registration history (T2).</w:t>
      </w:r>
    </w:p>
    <w:p>
      <w:pPr>
        <w:pStyle w:val="ListParagraph"/>
        <w:numPr>
          <w:ilvl w:val="0"/>
          <w:numId w:val="2"/>
        </w:numPr>
        <w:spacing w:after="60"/>
      </w:pPr>
      <w:r>
        <w:rPr>
          <w:rFonts w:ascii="Arial" w:cs="Arial" w:eastAsia="Arial" w:hAnsi="Arial"/>
          <w:sz w:val="22"/>
          <w:szCs w:val="22"/>
        </w:rPr>
        <w:t xml:space="preserve">Internal CEE+SEE roll-up addendum, May 2026 — for KSeF Poland, Italy STP regulatory context (T1).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40"/>
      <w:outlineLvl w:val="0"/>
    </w:pPr>
    <w:rPr>
      <w:rFonts w:ascii="Arial" w:cs="Arial" w:eastAsia="Arial" w:hAnsi="Arial"/>
      <w:b/>
      <w:bCs/>
      <w:color w:val="1F3A68"/>
      <w:sz w:val="30"/>
      <w:szCs w:val="30"/>
    </w:rPr>
  </w:style>
  <w:style w:type="paragraph" w:styleId="Heading2">
    <w:name w:val="Heading 2"/>
    <w:basedOn w:val="Normal"/>
    <w:next w:val="Normal"/>
    <w:qFormat/>
    <w:pPr>
      <w:spacing w:after="100" w:before="180"/>
      <w:outlineLvl w:val="1"/>
    </w:pPr>
    <w:rPr>
      <w:rFonts w:ascii="Arial" w:cs="Arial" w:eastAsia="Arial" w:hAnsi="Arial"/>
      <w:b/>
      <w:bCs/>
      <w:color w:val="2E5B9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2026-05-21T11:05:06.339Z</dcterms:created>
  <dcterms:modified xsi:type="dcterms:W3CDTF">2026-05-21T11:05:06.342Z</dcterms:modified>
</cp:coreProperties>
</file>

<file path=docProps/custom.xml><?xml version="1.0" encoding="utf-8"?>
<Properties xmlns="http://schemas.openxmlformats.org/officeDocument/2006/custom-properties" xmlns:vt="http://schemas.openxmlformats.org/officeDocument/2006/docPropsVTypes"/>
</file>