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64"/>
        </w:rPr>
        <w:br/>
        <w:br/>
        <w:t>PROJECT LEDGER</w:t>
      </w:r>
    </w:p>
    <w:p>
      <w:pPr>
        <w:jc w:val="center"/>
      </w:pPr>
      <w:r>
        <w:rPr>
          <w:color w:val="FF6B35"/>
          <w:sz w:val="36"/>
        </w:rPr>
        <w:t>Realistic Phased Plan &amp; Reality-Tested Targets</w:t>
      </w:r>
    </w:p>
    <w:p>
      <w:pPr>
        <w:jc w:val="center"/>
      </w:pPr>
      <w:r>
        <w:rPr>
          <w:i/>
          <w:color w:val="555555"/>
          <w:sz w:val="24"/>
        </w:rPr>
        <w:t>What is actually achievable in 5 years, with go/no-go gates and walk-away criteria</w:t>
      </w:r>
    </w:p>
    <w:p>
      <w:r>
        <w:br/>
      </w:r>
    </w:p>
    <w:p>
      <w:pPr>
        <w:jc w:val="center"/>
      </w:pPr>
      <w:r>
        <w:rPr>
          <w:color w:val="555555"/>
          <w:sz w:val="22"/>
        </w:rPr>
        <w:t>Deep-Research Memo  ·  Founder Reality Check  ·  May 2026</w:t>
        <w:br/>
      </w:r>
      <w:r>
        <w:rPr>
          <w:color w:val="AAAAAA"/>
          <w:sz w:val="20"/>
        </w:rPr>
        <w:t>This memo is honest, not promotional. It pressure-tests the pitch-deck numbers against</w:t>
        <w:br/>
        <w:t>Sumer, Xeinadin, INSEAD B&amp;B research, and KSeF regulatory reality.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TL;DR — read this first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2"/>
        </w:rPr>
        <w:t>The Ledger thesis is sound but the original investor-deck math is optimistic by roughly 2×. The realistic 5-year outcome is €12–18M revenue across 4–6 practices in PL/CY (Italy parked), €3–5M EBITDA, exit at 7–10× EBITDA = €25–55M equity value, returning 3–4× MoIC to seed and 1.8–2.5× to Series A. That is still a great outcome and a respectable career play — just not the €92M / 13× MoIC headline in the pitch deck.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Three things to internalise before Day 1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1. Regulatory timing:</w:t>
      </w:r>
      <w:r>
        <w:rPr>
          <w:rFonts w:ascii="Calibri" w:hAnsi="Calibri"/>
          <w:sz w:val="21"/>
        </w:rPr>
        <w:t xml:space="preserve"> KSeF cliff is softer than the deck implied. Penalties deferred to Jan 2027. Sellers will not panic-sell in Feb 2026; they will defer-and-grumble for 6–12 months.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2. Exit multiples:</w:t>
      </w:r>
      <w:r>
        <w:rPr>
          <w:rFonts w:ascii="Calibri" w:hAnsi="Calibri"/>
          <w:sz w:val="21"/>
        </w:rPr>
        <w:t xml:space="preserve"> Xeinadin (122 firms, £100M+ revenue, £60M EBITDA) cannot find a £1bn buyer in 2025. Sumer is targeting £700M–£1bn but has not exited. The naive 10× EBITDA exit is not guaranteed — Europe PE bid median is 11.2× but only for grade-A platforms with proven integration.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3. First-time-manager penalty:</w:t>
      </w:r>
      <w:r>
        <w:rPr>
          <w:rFonts w:ascii="Calibri" w:hAnsi="Calibri"/>
          <w:sz w:val="21"/>
        </w:rPr>
        <w:t xml:space="preserve"> You do not have a fund track record. LPs say "yes" to first-time managers but "no" to first-time investors. A €6M Series A from institutional PE in month 9 is not realistic. Realistic path: angels + family offices + HNWI through Series A, lower-mid PE only after 2–3 deals closed and live.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The honest base case (vs. the deck base case)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Original deck (FY30)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Realistic base (FY30)</w:t>
            </w:r>
          </w:p>
        </w:tc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Walk-away floor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Practices acquired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5 (3 PL, 1 CY, 1 IT optional)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&lt;3 by month 30</w:t>
            </w:r>
          </w:p>
        </w:tc>
      </w:tr>
      <w:tr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Revenue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€33M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€12–18M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&lt;€6M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EBITDA margin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33%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22–28%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&lt;18%</w:t>
            </w:r>
          </w:p>
        </w:tc>
      </w:tr>
      <w:tr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EBITDA absolute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€11M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€3–5M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&lt;€1.2M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Capital raised (equity)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€7M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€4–6M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Not raisable beyond extension</w:t>
            </w:r>
          </w:p>
        </w:tc>
      </w:tr>
      <w:tr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Exit multiple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10×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7–9×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&lt;5×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Equity value at exit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€92M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€25–55M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&lt;€10M</w:t>
            </w:r>
          </w:p>
        </w:tc>
      </w:tr>
      <w:tr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Seed MoIC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5.5–7×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3–4×</w:t>
            </w:r>
          </w:p>
        </w:tc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&lt;1×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Founder all-in 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60 months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60+ months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36 months to assess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Decision-relevant findings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2"/>
        </w:rPr>
        <w:t>Six things that should change how you think about this: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1.  The KSeF "cliff" is more of a slope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Per the August 2025 Polish VAT amendment: large taxpayers (PLN 200M+ turnover) mandatory Feb 1, 2026; all VAT-registered SMEs April 1, 2026; micro-entrepreneurs Jan 1, 2027. CRITICAL: penalties for KSeF errors are deferred until Jan 1, 2027 — 2026 is effectively a grace year. Sellers will not be in panic mode in Feb 2026. Practical implication: the regulatory tailwind is real but spread across 24 months, not concentrated in one quarter. Adjust expectations on sourcing speed accordingly. (Source: EY tax alert; Sovos KSeF timeline; Banqup KSeF 2.0 blog; novo-solution.pl)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2.  Xeinadin is the cautionary tale the deck did not show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Xeinadin (Exponent PE, founded 2018) consolidated 122 UK/Irish accounting firms — bigger than Sumer. By 2024 they had £100M+ revenue, ~£60M EBITDA, 2,500+ professionals, 130+ offices, 80,000+ SME clients. In 2025 they tried to exit at £1bn (15–16× EBITDA) via Evercore — buyers refused. They are now stuck, looking for a PE-to-PE secondary at lower multiple. The honest lesson: scale + EBITDA + PE backing does not guarantee an exit at expected multiple. The market repriced. (Source: The Finance Story; Wall Street Oasis; SMBvig)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3.  Sumer hit £100M in 12 months because Penta wrote big cheques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Sumer's 34 deals in ~36 months required serious PE capital — Penta's typical deal size is £20–80M equity per portfolio company, not Sumer-tier seed money. They were never a "lean seed" play. Their trajectory is not directly replicable on €250k–€7M. A more honest analog: a Sumer-style platform that does 4–6 deals on €5–7M raised over 4–5 years, ending up at the size of Sumer's 4th or 5th acquired hub — which is also a good outcome. (Source: Penta Capital portfolio; Sumer press releases; thefinancestory.com)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4.  Institutional PE will not lead a Series A from a first-time founder with zero deals closed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Every LP guide is consistent: institutional capital wants a track record. Family offices anchor first; institutional PE follows once there are 2–3 closed deals showing the integration math works (margin expansion, retention, gross-to-net). The deck's "€6M Series A in month 9 from Hg / EQT / Vista" is not realistic until at least one Polish practice is closed, integrated, and showing 12 months of post-close P&amp;L. A more realistic path: SAFE + extension from angels and family offices through Day 100, then a £750k–€1M extension, then Series A in month 18–24 once the proof points exist. (Source: Carta track-record guide; PipelineRoad emerging-manager playbook; Probitas Partners DD framework)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5.  Buy-and-build success is decided in the first 100 days post-close, not pre-LOI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INSEAD research on B&amp;B integration is unambiguous: deals succeed when finance, governance and controls are integrated within the first three months post-close, with a named C-level sponsor and brutal milestone discipline. Most accounting roll-ups that fail (Xeinadin under fire, several US tax-prep roll-ups) failed at integration, not at sourcing. Implication: do not chase a second deal until the first is operationally clean. The naive Gantt of 2–3 closes in Year 1 is what kills the model. (Source: INSEAD Knowledge: How PE Firms Can Ace Buy-and-Build)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6.  EU PE multiples have re-rated — 11.2× is the BID, not always the print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Q2 2025: European PE buyers paid a median 11.2× EBITDA. But: (a) that is the bid for grade-A assets with proven recurring revenue, integrated tech, and clean QoE; (b) corporate strategic buyers paid only 8.5×; (c) Xeinadin's ask at 15–16× was rejected. For a 4–6 practice EU roll-up at €4–5M EBITDA, you should plan for 7–9× as your base case (€28–45M EV) and treat 10–11× as the stretch case. (Source: CLFI 2025 multiples report; Capstone Partners; Phoenix Strategy Group)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Phase 0 — Pre-launch (the 60 days before Day 1)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Most first-time founders skip Phase 0. Do not skip it. The point is to fail cheap before you raise a single euro from anyone.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Goals (realistic)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Co-founder:</w:t>
      </w:r>
      <w:r>
        <w:rPr>
          <w:rFonts w:ascii="Calibri" w:hAnsi="Calibri"/>
          <w:sz w:val="21"/>
        </w:rPr>
        <w:t xml:space="preserve"> One genuine, full-time co-founder commitment in writing — equity-vesting agreement drafted, signed.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Personal runway:</w:t>
      </w:r>
      <w:r>
        <w:rPr>
          <w:rFonts w:ascii="Calibri" w:hAnsi="Calibri"/>
          <w:sz w:val="21"/>
        </w:rPr>
        <w:t xml:space="preserve"> 12 months of personal runway proven (your own savings or family commitment) for both founders. Roll-ups do not pay founders for 18+ months.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Demand validation:</w:t>
      </w:r>
      <w:r>
        <w:rPr>
          <w:rFonts w:ascii="Calibri" w:hAnsi="Calibri"/>
          <w:sz w:val="21"/>
        </w:rPr>
        <w:t xml:space="preserve"> 5–10 warm conversations with Polish accounting-practice owners (NDA optional). Pure discovery — "would you sell?", "at what multiple?", "what scares you about the upgrade?"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Structure pre-work:</w:t>
      </w:r>
      <w:r>
        <w:rPr>
          <w:rFonts w:ascii="Calibri" w:hAnsi="Calibri"/>
          <w:sz w:val="21"/>
        </w:rPr>
        <w:t xml:space="preserve"> Cyprus lawyer engaged on a fixed-fee retainer (€2–5k). Confirm Ledger Holdings Limited is incorporable in 14 days from instruction.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NL personal tax:</w:t>
      </w:r>
      <w:r>
        <w:rPr>
          <w:rFonts w:ascii="Calibri" w:hAnsi="Calibri"/>
          <w:sz w:val="21"/>
        </w:rPr>
        <w:t xml:space="preserve"> NL tax advisor consulted on your personal exposure (box 2 substantial interest, employment vs entrepreneur income, IB-aangifte) — paid 1-hour consultation.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Common failure modes at Phase 0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Co-founder bail:</w:t>
      </w:r>
      <w:r>
        <w:rPr>
          <w:rFonts w:ascii="Calibri" w:hAnsi="Calibri"/>
          <w:sz w:val="21"/>
        </w:rPr>
        <w:t xml:space="preserve"> Co-founder agrees verbally then bails when contract is on the table. Solve: written commitment with cliff and vesting before any capital.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No seller demand:</w:t>
      </w:r>
      <w:r>
        <w:rPr>
          <w:rFonts w:ascii="Calibri" w:hAnsi="Calibri"/>
          <w:sz w:val="21"/>
        </w:rPr>
        <w:t xml:space="preserve"> Warm conversations produce zero willing sellers at &lt;4.5× EBITDA. Solve: do not start. The market is telling you the price floor is higher than your model assumes.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Founder solo:</w:t>
      </w:r>
      <w:r>
        <w:rPr>
          <w:rFonts w:ascii="Calibri" w:hAnsi="Calibri"/>
          <w:sz w:val="21"/>
        </w:rPr>
        <w:t xml:space="preserve"> "I can do this with no co-founder, just hire later." Solve: do not start. INSEAD data is clear — single-founder B&amp;Bs underperform on integration discipline.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Structure trap:</w:t>
      </w:r>
      <w:r>
        <w:rPr>
          <w:rFonts w:ascii="Calibri" w:hAnsi="Calibri"/>
          <w:sz w:val="21"/>
        </w:rPr>
        <w:t xml:space="preserve"> NL tax exposure on box 2 / box 3 makes Cyprus holdco worse than a Dutch BV for you personally. Solve: structure decision must come BEFORE incorporation, not after.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9746"/>
      </w:tblGrid>
      <w:tr>
        <w:tc>
          <w:tcPr>
            <w:tcW w:type="dxa" w:w="9746"/>
            <w:shd w:val="clear" w:color="auto" w:fill="FFEDED"/>
          </w:tcPr>
          <w:p>
            <w:r/>
            <w:r>
              <w:rPr>
                <w:rFonts w:ascii="Calibri" w:hAnsi="Calibri"/>
                <w:b/>
                <w:color w:val="C0392B"/>
                <w:sz w:val="20"/>
              </w:rPr>
              <w:t>PHASE 0 → PHASE 1 GATE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color w:val="101010"/>
                <w:sz w:val="20"/>
              </w:rPr>
              <w:t>Continue only if: (a) co-founder signed, (b) 12 months personal runway proven, (c) ≥3 warm seller conversations show willingness at ≤4.5× EBITDA, (d) Cyprus vs NL structure decision made with written tax-advisor sign-off, (e) at least one warm angel commitment of €50k+. If ANY of these fail, stop. Cost of Phase 0: €5–15k personal. Cost of skipping Phase 0: €250k seed + 18 months of your life.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Phase 1 — Foundation (Day 1–100)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Capital: €250k SAFE from founders + angels. Team: 2–3 (founder + co-founder + first hire).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What is actually achievable in 100 days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The original deck claimed LEDGER-1 closes by Day 85. That is unrealistic. Sumer's first close was ~4 months after Penta's investment, with a full M&amp;A team and an ex-KPMG COO running it. For a lean-seed first-time team, realistic targets: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Cyprus holdco incorporated (Day 15)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Polish subsidiary registered (Day 30)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M&amp;A originator (Poland) hired (Day 45 start, Day 60 productive)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Polish target longlist of 150–250 practices screened to top 30 (Day 60)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8–15 introductory meetings completed (Day 90)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1–2 NDAs signed; 1 LOI in draft (Day 100)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NO closed deal by Day 100. Realistic close is Month 6–9.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What the deck got right and what to keep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Cyprus holdco first, Polish sub second — correct sequencing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€250k SAFE size from founder + angels — realistic for the work in Phase 1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Three hires (M&amp;A originator, integration lead, AI advisor) — correct shape, but stagger them; AI advisor can be fractional through Phase 2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What the deck got wrong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LEDGER-1 closes by Day 85 — replace with "LOI signed by Day 100, close by Month 6"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Series A pitch deck draft by Day 25 — premature; no investor wants a Series A deck before there is one real deal in the pipeline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"Investor meetings booked Day 85" — investors will say "come back when you have closed one"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Common failure modes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Hire delays:</w:t>
      </w:r>
      <w:r>
        <w:rPr>
          <w:rFonts w:ascii="Calibri" w:hAnsi="Calibri"/>
          <w:sz w:val="21"/>
        </w:rPr>
        <w:t xml:space="preserve"> M&amp;A originator hire takes 4 months not 2 (Polish accounting M&amp;A talent is scarce and you are an unknown employer). Solve: line up 2 candidates in Phase 0; offer fractional/advisory arrangement to a credible KPMG/PwC alum at €40–60k retainer.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Cold outreach fails:</w:t>
      </w:r>
      <w:r>
        <w:rPr>
          <w:rFonts w:ascii="Calibri" w:hAnsi="Calibri"/>
          <w:sz w:val="21"/>
        </w:rPr>
        <w:t xml:space="preserve"> Polish target outreach gets &lt;2% response rate. Solve: warm-introduction strategy (KIBR/SKwP membership lists, local Big-4 alumni networks) rather than cold mail.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Legal slippage:</w:t>
      </w:r>
      <w:r>
        <w:rPr>
          <w:rFonts w:ascii="Calibri" w:hAnsi="Calibri"/>
          <w:sz w:val="21"/>
        </w:rPr>
        <w:t xml:space="preserve"> Cyprus law firm takes 6 weeks to incorporate, not 14 days. Solve: pre-pay retainer with named partner; escrow incorporation fees.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Founder cash:</w:t>
      </w:r>
      <w:r>
        <w:rPr>
          <w:rFonts w:ascii="Calibri" w:hAnsi="Calibri"/>
          <w:sz w:val="21"/>
        </w:rPr>
        <w:t xml:space="preserve"> NL personal cash burn is higher than projected (rent, family, taxes). Solve: model your own runway month-by-month for 18 months in Phase 0 and have a 25% buffer.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rFonts w:ascii="Calibri" w:hAnsi="Calibri"/>
                <w:b/>
                <w:color w:val="E59F00"/>
                <w:sz w:val="20"/>
              </w:rPr>
              <w:t>PHASE 1 → PHASE 2 GATE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color w:val="101010"/>
                <w:sz w:val="20"/>
              </w:rPr>
              <w:t>Continue only if at Day 100: (a) at least 1 signed LOI on a qualifying Polish target (€1–3M rev, ≥15% margin), (b) Cyprus holdco operational with named directors and bank accounts, (c) M&amp;A originator on the team and productive, (d) €750k extension soft-circled from at least 4 angels/family offices, (e) co-founder still committed (not burned out). If 3+ of 5 fail: hold position, do not draw extension, re-evaluate after 60 more days. If 4+ fail by Day 160: walk away. Sunk cost: ~€150–200k of the seed.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Phase 2 — First deal &amp; extension (Months 4–12)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Capital: €750k–€1M seed extension on top of seed (total raised €1.0–1.25M).  Team: 4–5.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What is achievable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First close:</w:t>
      </w:r>
      <w:r>
        <w:rPr>
          <w:rFonts w:ascii="Calibri" w:hAnsi="Calibri"/>
          <w:sz w:val="21"/>
        </w:rPr>
        <w:t xml:space="preserve"> LEDGER-1 (Poland) closed Month 6–9. Realistic size: €1.0–1.8M revenue, 15–20% EBITDA margin, 3.5–4.0× EBITDA = €0.5–1.3M EV. Equity portion ~€0.6M, deferred / earnout ~€0.2M, seller-stay 12 months.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Cyprus toehold:</w:t>
      </w:r>
      <w:r>
        <w:rPr>
          <w:rFonts w:ascii="Calibri" w:hAnsi="Calibri"/>
          <w:sz w:val="21"/>
        </w:rPr>
        <w:t xml:space="preserve"> LEDGER-CY-1 (Cyprus toehold) closed Month 9–12. Small (€0.3–0.6M revenue), test the integration playbook on low-stakes asset.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AI overlay:</w:t>
      </w:r>
      <w:r>
        <w:rPr>
          <w:rFonts w:ascii="Calibri" w:hAnsi="Calibri"/>
          <w:sz w:val="21"/>
        </w:rPr>
        <w:t xml:space="preserve"> AI overlay POC live on LEDGER-1 by Month 9. Realistic Year-1 outcome: 40–55% auto-classification rate (not 70–85% the marketing material promises). That is still good. Margin uplift visible by Month 12 but small (1–3 percentage points).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Run-rate:</w:t>
      </w:r>
      <w:r>
        <w:rPr>
          <w:rFonts w:ascii="Calibri" w:hAnsi="Calibri"/>
          <w:sz w:val="21"/>
        </w:rPr>
        <w:t xml:space="preserve"> Group revenue run-rate at Month 12: €1.5–2.5M consolidated.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Series A:</w:t>
      </w:r>
      <w:r>
        <w:rPr>
          <w:rFonts w:ascii="Calibri" w:hAnsi="Calibri"/>
          <w:sz w:val="21"/>
        </w:rPr>
        <w:t xml:space="preserve"> Investor outreach for Series A starts Month 9 with one closed deal + integration data, not Month 9 with nothing.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What can go wrong (most common failures here)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Client churn:</w:t>
      </w:r>
      <w:r>
        <w:rPr>
          <w:rFonts w:ascii="Calibri" w:hAnsi="Calibri"/>
          <w:sz w:val="21"/>
        </w:rPr>
        <w:t xml:space="preserve"> Acquired practice loses 1–2 key clients in first 6 months post-close (15% revenue gone). Solve: closing condition = top-5 client renewal letters; insurance-backed reps; earnout aligned to client retention not absolute revenue.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Seller stays bad:</w:t>
      </w:r>
      <w:r>
        <w:rPr>
          <w:rFonts w:ascii="Calibri" w:hAnsi="Calibri"/>
          <w:sz w:val="21"/>
        </w:rPr>
        <w:t xml:space="preserve"> Seller becomes obstructive at month 4 (regret, post-deal blues). Solve: structured weekly 1:1 between founder and seller for first 90 days; clear KPI escalation; pre-agreed dispute mechanism.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AI overlay underdelivers:</w:t>
      </w:r>
      <w:r>
        <w:rPr>
          <w:rFonts w:ascii="Calibri" w:hAnsi="Calibri"/>
          <w:sz w:val="21"/>
        </w:rPr>
        <w:t xml:space="preserve"> AI overlay does not move margin. Solve: do not promise margin to investors before you have 6 months of post-overlay P&amp;L. Promise process improvement, customer retention, and risk-free upsell on premium tier.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Founder burnout:</w:t>
      </w:r>
      <w:r>
        <w:rPr>
          <w:rFonts w:ascii="Calibri" w:hAnsi="Calibri"/>
          <w:sz w:val="21"/>
        </w:rPr>
        <w:t xml:space="preserve"> You burn out. The work is grindy: due diligence, integration, sales pipeline, hiring, all in parallel. Solve: ration commitments. No second deal until first is operationally stable.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Regulatory mismatch:</w:t>
      </w:r>
      <w:r>
        <w:rPr>
          <w:rFonts w:ascii="Calibri" w:hAnsi="Calibri"/>
          <w:sz w:val="21"/>
        </w:rPr>
        <w:t xml:space="preserve"> KSeF support disruption in target practice — they have not done the upgrade work. Solve: this is actually an opportunity (lower entry price), but DD must include KSeF readiness assessment and an explicit cost-to-cure number in the SPA.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9746"/>
      </w:tblGrid>
      <w:tr>
        <w:tc>
          <w:tcPr>
            <w:tcW w:type="dxa" w:w="9746"/>
            <w:shd w:val="clear" w:color="auto" w:fill="FFEDED"/>
          </w:tcPr>
          <w:p>
            <w:r/>
            <w:r>
              <w:rPr>
                <w:rFonts w:ascii="Calibri" w:hAnsi="Calibri"/>
                <w:b/>
                <w:color w:val="C0392B"/>
                <w:sz w:val="20"/>
              </w:rPr>
              <w:t>PHASE 2 → PHASE 3 GATE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color w:val="101010"/>
                <w:sz w:val="20"/>
              </w:rPr>
              <w:t>Continue only if at Month 12: (a) LEDGER-1 12-month gross retention &gt;85%, ideally &gt;90%; (b) LEDGER-1 EBITDA margin held or improved vs pre-close LTM; (c) LEDGER-1 seller still in role and constructive; (d) Cyprus toehold integrated cleanly; (e) Series A term sheet from at least one credible investor (family office or lower-mid PE acceptable). If any of (a)/(b)/(c) fail materially: do NOT raise Series A. Pause, fix, or wind down. Carrying broken integration into Series A is how Xeinadin happened. If you cannot raise Series A in 60 days post Month 12 from a credible source: run as a 2-practice cashflow business and re-assess in 12 months.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Phase 3 — Scale (Year 2, Months 13–24)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Capital: €4–6M Series A (realistic).  Team: 10–15 incl. inherited staff.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Realistic Series A profile (vs deck assumption)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18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Deck assumption</w:t>
            </w:r>
          </w:p>
        </w:tc>
        <w:tc>
          <w:tcPr>
            <w:tcW w:type="dxa" w:w="3685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Realistic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Size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€6M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€4–6M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Timing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Month 9</w:t>
            </w:r>
          </w:p>
        </w:tc>
        <w:tc>
          <w:tcPr>
            <w:tcW w:type="dxa" w:w="3685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Month 15–24 (after proof points)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Lead investor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Hg / EQT / Vista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sz w:val="19"/>
              </w:rPr>
              <w:t>Family office syndicate OR lower-mid PE (Penta, Mercia, August, Apiary, Sovereign)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Pre-money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€12M</w:t>
            </w:r>
          </w:p>
        </w:tc>
        <w:tc>
          <w:tcPr>
            <w:tcW w:type="dxa" w:w="3685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€8–14M (depends on traction)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Use of funds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4 deals + AI build + Italy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2–3 deals + working capital + AI engineer + Italy reconnaissance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Founder dilution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~25%</w:t>
            </w:r>
          </w:p>
        </w:tc>
        <w:tc>
          <w:tcPr>
            <w:tcW w:type="dxa" w:w="3685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~30–40%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Board composition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 founders + 1 lead investor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 founders + 1 lead + 1 independent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Closing conditions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Standard</w:t>
            </w:r>
          </w:p>
        </w:tc>
        <w:tc>
          <w:tcPr>
            <w:tcW w:type="dxa" w:w="3685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KPIs on LEDGER-1/CY-1: retention, margin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What is achievable in Year 2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2–3 additional Polish closes (LEDGER-2 and LEDGER-3, maybe -4) at €1.5–2.5M each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Italy market entry deferred; spend Q3/Q4 on country reconnaissance only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AI overlay deployed across 3 of 4 practices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Group revenue run-rate Month 24: €5–8M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EBITDA margin: 18–22% (still mostly inherited margins, AI uplift partial)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Senior debt facility €2–4M secured for FY28 deals (not €8M)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New failure modes that appear in Year 2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Deal quality decay:</w:t>
      </w:r>
      <w:r>
        <w:rPr>
          <w:rFonts w:ascii="Calibri" w:hAnsi="Calibri"/>
          <w:sz w:val="21"/>
        </w:rPr>
        <w:t xml:space="preserve"> Second deal is worse than first (selection bias — easy practices closed first). Margin compression on group basis.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MD conflict:</w:t>
      </w:r>
      <w:r>
        <w:rPr>
          <w:rFonts w:ascii="Calibri" w:hAnsi="Calibri"/>
          <w:sz w:val="21"/>
        </w:rPr>
        <w:t xml:space="preserve"> Country MDs (sellers staying as MDs) clash with each other or with HQ. Brand-versus-platform tension surfaces.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Tech sprawl:</w:t>
      </w:r>
      <w:r>
        <w:rPr>
          <w:rFonts w:ascii="Calibri" w:hAnsi="Calibri"/>
          <w:sz w:val="21"/>
        </w:rPr>
        <w:t xml:space="preserve"> AI/tech vendor that worked on practice 1 does not work for practice 2 (different host platform: Comarch vs Symfonia vs iFirma). Tech debt accumulates.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Working capital:</w:t>
      </w:r>
      <w:r>
        <w:rPr>
          <w:rFonts w:ascii="Calibri" w:hAnsi="Calibri"/>
          <w:sz w:val="21"/>
        </w:rPr>
        <w:t xml:space="preserve"> Cash conversion lags revenue growth (acquired practices have receivables tied up; group working capital strains). You burn faster than the P&amp;L suggests.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Investor pressure:</w:t>
      </w:r>
      <w:r>
        <w:rPr>
          <w:rFonts w:ascii="Calibri" w:hAnsi="Calibri"/>
          <w:sz w:val="21"/>
        </w:rPr>
        <w:t xml:space="preserve"> Series A investor pushes for "more deals faster" — pressure to accept lower-quality targets. Resist; this is the Xeinadin path.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rFonts w:ascii="Calibri" w:hAnsi="Calibri"/>
                <w:b/>
                <w:color w:val="E59F00"/>
                <w:sz w:val="20"/>
              </w:rPr>
              <w:t>PHASE 3 → PHASE 4 GATE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color w:val="101010"/>
                <w:sz w:val="20"/>
              </w:rPr>
              <w:t>Continue with full scale only if at Month 24: (a) group revenue ≥€5M, gross retention across acquired book ≥85%, (b) consolidated EBITDA margin ≥18% and trending up, (c) at least one practice showing post-overlay margin uplift ≥3 percentage points, (d) senior debt facility in place, (e) Series A capital not yet exhausted (&gt;30% unspent runway). If (a)/(b) miss materially: shift to "harvest mode" — no more deals, focus on margin expansion in existing book, prepare for a smaller exit (€15–25M EV) at Year 3–4.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Phase 4 — Harvest or exit (Year 3–5, Months 25–60)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Capital: Optional Series B €8–12M (if scaling) or senior debt only (if harvesting). Team: 25–40.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Two realistic paths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18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Path A — Scale &amp; sell</w:t>
            </w:r>
          </w:p>
        </w:tc>
        <w:tc>
          <w:tcPr>
            <w:tcW w:type="dxa" w:w="3118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Path B — Harvest &amp; smaller exit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Behavior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Continue M&amp;A, raise Series B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Stop M&amp;A at 4–5 practices, optimize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Year-5 revenue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€18–25M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€10–14M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Year-5 EBITDA margin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25–28%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22–26%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Year-5 EBITDA absolute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€4.5–7M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€2.4–3.6M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Exit multiple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8–10×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6–8×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Exit EV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€36–70M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€15–29M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Net debt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€6–12M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€2–4M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Equity value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€30–58M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€13–25M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Likely buyer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Visma, Sumer, EU-mid PE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Local PE, secondary fund, MBO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Founder dilution at exit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40–55%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30–40%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Founder gross to bank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€8–15M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€5–10M</w:t>
            </w:r>
          </w:p>
        </w:tc>
      </w:tr>
      <w:tr>
        <w:tc>
          <w:tcPr>
            <w:tcW w:type="dxa" w:w="198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Series A net MoIC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2.0–2.8×</w:t>
            </w:r>
          </w:p>
        </w:tc>
        <w:tc>
          <w:tcPr>
            <w:tcW w:type="dxa" w:w="311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1.5–2.0×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Path A failure modes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Capital wall:</w:t>
      </w:r>
      <w:r>
        <w:rPr>
          <w:rFonts w:ascii="Calibri" w:hAnsi="Calibri"/>
          <w:sz w:val="21"/>
        </w:rPr>
        <w:t xml:space="preserve"> Cannot raise Series B (Xeinadin precedent: market refuses). Solve: have Path B as a real plan, not a contingency.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Italy black hole:</w:t>
      </w:r>
      <w:r>
        <w:rPr>
          <w:rFonts w:ascii="Calibri" w:hAnsi="Calibri"/>
          <w:sz w:val="21"/>
        </w:rPr>
        <w:t xml:space="preserve"> Italy entry costs balloon (TeamSystem integration, Italian labor law). Solve: defer Italy if unit economics on PL/CY are not screaming yes.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Macro:</w:t>
      </w:r>
      <w:r>
        <w:rPr>
          <w:rFonts w:ascii="Calibri" w:hAnsi="Calibri"/>
          <w:sz w:val="21"/>
        </w:rPr>
        <w:t xml:space="preserve"> Exit window closes (macro shock; EU PE multiples re-rate 2–3 turns lower). Solve: keep one viable trade-buyer dialog warm at all times (Visma, Sumer, Penta-portfolio strategics).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Path B is not failure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A 4-practice consolidator at €12M revenue, €3M EBITDA, sold to a Polish/Cypriot lower-mid PE at 7× EBITDA = €21M EV is a genuinely successful outcome. €15–17M equity value after debt, 30% founder stake at exit = €4.5–5M to bank in cash. For five years of work it is below "VC-grade founder" outcomes but solidly above middle management at any consulting firm. The shame is in over-promising in Year 1, not in delivering Path B in Year 5.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9746"/>
      </w:tblGrid>
      <w:tr>
        <w:tc>
          <w:tcPr>
            <w:tcW w:type="dxa" w:w="9746"/>
            <w:shd w:val="clear" w:color="auto" w:fill="E8F4EA"/>
          </w:tcPr>
          <w:p>
            <w:r/>
            <w:r>
              <w:rPr>
                <w:rFonts w:ascii="Calibri" w:hAnsi="Calibri"/>
                <w:b/>
                <w:color w:val="2E8B57"/>
                <w:sz w:val="20"/>
              </w:rPr>
              <w:t>PHASE 4 EXIT TRIGGER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color w:val="101010"/>
                <w:sz w:val="20"/>
              </w:rPr>
              <w:t>Initiate exit conversations once: (a) Year-on-year revenue growth ≥30%, (b) consolidated EBITDA margin ≥22%, (c) gross retention ≥85%, (d) at least 4 acquired practices integrated for 18+ months. Engage boutique advisor (Continuum, Continuum-equivalent or Tier-2 like FRP, Acuity Advisors). Realistic process timeline: 6–9 months. Best window: when you have a fresh full-year of clean post-integration P&amp;L.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Realistic financial trajectory — three scenarios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101010"/>
          <w:sz w:val="21"/>
        </w:rPr>
        <w:t>All figures €M; rounded. "Min" = walk-away floor; "Base" = realistic expectation; "Stretch" = upside if all phase gates pass and no Year-3 macro shock.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850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FY26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FY27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FY28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FY29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FY30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Revenue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3.5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5.5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7.0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Min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EBITDA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0.05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0.20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0.95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1.30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Deals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Min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Equity raised cum.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2.5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2.5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Revenue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3.0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10.0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14.0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EBITDA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0.10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1.25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2.50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3.80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Deals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Equity raised cum.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5.0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5.0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5.0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Stretch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Revenue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4.5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9.0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15.0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22.0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Stretch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EBITDA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0.20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0.75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2.10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4.20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6.50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Stretch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9"/>
              </w:rPr>
              <w:t>Deals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Stretch</w:t>
            </w:r>
          </w:p>
        </w:tc>
        <w:tc>
          <w:tcPr>
            <w:tcW w:type="dxa" w:w="2268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Equity raised cum.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type="dxa" w:w="96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6.0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Exit valuation by scenario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850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FY30 EBITDA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Exit mult.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EV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− Net debt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Equity value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Founder share* @ exit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Min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€1.3M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6.0×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€7.8M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€1.0M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€6.8M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€3.4M (50%)</w:t>
            </w:r>
          </w:p>
        </w:tc>
      </w:tr>
      <w:tr>
        <w:tc>
          <w:tcPr>
            <w:tcW w:type="dxa" w:w="850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1417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€3.8M</w:t>
            </w:r>
          </w:p>
        </w:tc>
        <w:tc>
          <w:tcPr>
            <w:tcW w:type="dxa" w:w="113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8.0×</w:t>
            </w:r>
          </w:p>
        </w:tc>
        <w:tc>
          <w:tcPr>
            <w:tcW w:type="dxa" w:w="113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€30.4M</w:t>
            </w:r>
          </w:p>
        </w:tc>
        <w:tc>
          <w:tcPr>
            <w:tcW w:type="dxa" w:w="1134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€6.0M</w:t>
            </w:r>
          </w:p>
        </w:tc>
        <w:tc>
          <w:tcPr>
            <w:tcW w:type="dxa" w:w="1417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€24.4M</w:t>
            </w:r>
          </w:p>
        </w:tc>
        <w:tc>
          <w:tcPr>
            <w:tcW w:type="dxa" w:w="1701"/>
            <w:shd w:val="clear" w:color="auto" w:fill="F4F6F9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€8.5M (35%)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sz w:val="19"/>
              </w:rPr>
              <w:t>Stretch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€6.5M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9.5×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€61.8M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€10.0M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€51.8M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19"/>
              </w:rPr>
              <w:t>€13.0M (25%)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/>
          <w:color w:val="555555"/>
          <w:sz w:val="18"/>
        </w:rPr>
        <w:t>*Founder share after Series A + B dilution, before taxes. NL box-2 tax 24.5%/31% applies; Cyprus structure may reduce.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What we don't know yet (gaps + follow-up)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Local M&amp;A multiples:</w:t>
      </w:r>
      <w:r>
        <w:rPr>
          <w:rFonts w:ascii="Calibri" w:hAnsi="Calibri"/>
          <w:sz w:val="21"/>
        </w:rPr>
        <w:t xml:space="preserve"> Specific PL/IT/CY accounting-practice transaction multiples are not in public databases. We are using UK / pan-European proxies. Recommend: pay €5–10k for a Mergermarket / Pitchbook seat for 60 days during Phase 0 to pull comparable transactions specifically in PL/IT/CY professional services 2022–2025.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Sumer EBITDA margin:</w:t>
      </w:r>
      <w:r>
        <w:rPr>
          <w:rFonts w:ascii="Calibri" w:hAnsi="Calibri"/>
          <w:sz w:val="21"/>
        </w:rPr>
        <w:t xml:space="preserve"> Sumer's EBITDA margin is not publicly disclosed — only revenue (£100M+). If Sumer is at 25–30% EBITDA, the platform is healthy; if 12–15%, the model has not yet generated synergies. Recommend: source via Continuum advisor contacts or Penta portfolio whispers if accessible.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Xeinadin postmortem:</w:t>
      </w:r>
      <w:r>
        <w:rPr>
          <w:rFonts w:ascii="Calibri" w:hAnsi="Calibri"/>
          <w:sz w:val="21"/>
        </w:rPr>
        <w:t xml:space="preserve"> Xeinadin's exact reason for buyer rejection is not public. Was it (a) multiple too high, (b) integration questions, (c) macro window, (d) all three? Recommend: read Exponent Capital portfolio updates and any FT/Reuters detail in Q1 2026.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Founder tax exposure:</w:t>
      </w:r>
      <w:r>
        <w:rPr>
          <w:rFonts w:ascii="Calibri" w:hAnsi="Calibri"/>
          <w:sz w:val="21"/>
        </w:rPr>
        <w:t xml:space="preserve"> Net cash impact on founder of Cyprus vs NL holding structure depends on detailed personal NL tax position (box 2 substantial interest, employer/employee status, etc.). Recommend: paid hour with Loyens &amp; Loeff or Meijburg before Phase 0 end.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M&amp;A talent market:</w:t>
      </w:r>
      <w:r>
        <w:rPr>
          <w:rFonts w:ascii="Calibri" w:hAnsi="Calibri"/>
          <w:sz w:val="21"/>
        </w:rPr>
        <w:t xml:space="preserve"> Polish accounting M&amp;A talent market — how many qualified M&amp;A originators exist in PL, what they cost, willingness to join a startup. Recommend: 5 LinkedIn outreach + 2 paid intros via Vialto or a Big-4 alumni connector.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AI overlay margin proof:</w:t>
      </w:r>
      <w:r>
        <w:rPr>
          <w:rFonts w:ascii="Calibri" w:hAnsi="Calibri"/>
          <w:sz w:val="21"/>
        </w:rPr>
        <w:t xml:space="preserve"> AI-overlay actual margin impact in Year 1 of integration — claimed 8 percentage points, no audited evidence. Recommend: build the POC on Day-45 sample of 1,000 invoices BEFORE committing to a specific margin claim in the Series A deck.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sz w:val="21"/>
        </w:rPr>
        <w:t>Buyer-of-last-resort:</w:t>
      </w:r>
      <w:r>
        <w:rPr>
          <w:rFonts w:ascii="Calibri" w:hAnsi="Calibri"/>
          <w:sz w:val="21"/>
        </w:rPr>
        <w:t xml:space="preserve"> Visma's and Sumer's actual willingness to buy a 4–6 practice EU consolidator — never validated. Recommend: at Phase 2 / Month 12, have a coffee with Visma's and Sumer's corporate development (without disclosing intent to sell) to test the buyer-of-last-resort hypothesis.</w:t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Contradictions in the source set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C-1: Is the European PE multiple environment supportive or compressed?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[MED] CLFI (2025) reports European PE buyers paying median 11.2× EBITDA — supportive. [HIGH] Xeinadin's rejected £1bn ask at 15–16× EBITDA — compressed at the high end. RESOLUTION: both true. The market is bid for grade-A platform assets at 10–12×; refuses to price beyond that for "good but not unique" assets. Implication for Ledger: plan for 8× base, 10× stretch; do not plan for 12+.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C-2: Is KSeF a hard deadline or a soft one?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[HIGH] Ministry signed law Aug 2025 with Feb 2026 mandatory date. [HIGH] Same legislation defers penalties to Jan 2027. RESOLUTION: regulatorily binding; commercially soft. Sellers will not panic in Q1 2026; they will defer. Implication for Ledger: sourcing thesis holds but sourcing speed will be slower than the deck implies. Adjust Phase 1/2 deal timing by 3–6 months.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C-3: Can a first-time founder raise a €6M Series A from institutional PE?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01010"/>
          <w:sz w:val="21"/>
        </w:rPr>
        <w:t>[HIGH] Carta/Probitas/PipelineRoad all consistent: track record required, Year 3–5 typical. [MED] But: search-fund precedents exist (Stanford GSB search fund model) where first-time operators raise €3–8M deal-by-deal. RESOLUTION: institutional PE will not lead Series A from cold; family-office + HNWI + lower-mid PE can lead at €4–6M with proof points. Implication: do not promise the deck the wrong investor profile; structure for family offices + 1 anchor lower-mid PE.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A5F"/>
          <w:sz w:val="40"/>
        </w:rPr>
        <w:t>Sources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Tier 1 — primary / regulator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EY Global Tax Alert — "Poland signs into law mandatory national e-invoicing system" (Aug 2025)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Polish Ministry of Finance — KSeF 2.0 Q&amp;A official update (Feb 2026)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Sumer Group — sumer.co.uk (corporate site; About page; press release "Sumer Hits £100m Revenue, Just 12 Months After Launch" Feb 2024)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Tier 2 — quality secondary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Accountancy Age — "Ex-KPMG COO eyes £1bn valuation for his own accountancy firm" (2 Sept 2025)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The Finance Story — "Ex-KPMG UK COO accounting consolidator eyes $1Bn valuation" (Sept 2025)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The Finance Story — "PE Accounting roll-ups are hitting a reality check" (2025)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Accountancy Daily — "Sumer plans more acquisitions for £100m accounting group"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Insider Media — "Sumer snaps up 100-strong accountancy and advisory practice"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Rainmakers (TheBusinessDesk) — "Long hot Sumer - inside the PE backed accountancy consolidator"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INSEAD Knowledge — "How Private Equity Firms Can Ace Buy-and-Build"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CLFI — "M&amp;A EV/EBITDA Multiples 2025: PE vs Corporate by Sector"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Capstone Partners — "Accounting Services Market Update"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Sovos — "KSeF: A timeline of Poland's e-invoicing mandate"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Banqup — "Poland's KSeF 2.0 - the official e-invoicing mandate"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Marosa VAT — "E-Invoicing in Poland: Complete Guide to KSeF"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Tier 2 — emerging-manager / fund-raising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Carta — "Track Record Essentials for Emerging Fund Managers"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PipelineRoad — "How to Build a Track Record for Your First Fund"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Probitas Partners — "Emerging managers: how to analyse a first time fund" (2005, foundational)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Investor Ready Capital — "How Emerging Real Estate Fund Managers Get Their First Institutional Anchor"</w:t>
      </w:r>
    </w:p>
    <w:p>
      <w:pPr>
        <w:spacing w:before="200" w:after="40"/>
      </w:pPr>
      <w:r>
        <w:rPr>
          <w:rFonts w:ascii="Calibri" w:hAnsi="Calibri"/>
          <w:b/>
          <w:color w:val="FF6B35"/>
          <w:sz w:val="23"/>
        </w:rPr>
        <w:t>Tier 3 — directional only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Wall Street Oasis forum — "Accountancy roll-ups / buy and build" thread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SMBVig — "Roll-Up Acquisitions in SMB Investing: Strategy, Risks &amp; Returns"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1"/>
        </w:rPr>
        <w:t>Phoenix Strategy Group — "Comprehensive Guide to Valuing Accounting Firms Using Multiples"</w:t>
      </w:r>
    </w:p>
    <w:p>
      <w:pPr>
        <w:spacing w:after="80" w:line="300" w:lineRule="auto"/>
        <w:jc w:val="center"/>
      </w:pPr>
      <w:r>
        <w:rPr>
          <w:rFonts w:ascii="Calibri" w:hAnsi="Calibri"/>
          <w:b w:val="0"/>
          <w:i/>
          <w:color w:val="AAAAAA"/>
          <w:sz w:val="20"/>
        </w:rPr>
        <w:br/>
        <w:t>— End of Memo —</w:t>
      </w:r>
    </w:p>
    <w:p>
      <w:pPr>
        <w:spacing w:after="80" w:line="300" w:lineRule="auto"/>
        <w:jc w:val="center"/>
      </w:pPr>
      <w:r>
        <w:rPr>
          <w:rFonts w:ascii="Calibri" w:hAnsi="Calibri"/>
          <w:b w:val="0"/>
          <w:i/>
          <w:color w:val="AAAAAA"/>
          <w:sz w:val="18"/>
        </w:rPr>
        <w:t>Paired documents: Ledger_Rollup_Strategic_Memo.docx (full thesis), Ledger_Rollup_Model.xlsx (financial model), Ledger_Rollup_Pitch_Deck.pptx (investor deck).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