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CAPITALIPLY GROUP</w:t>
      </w:r>
    </w:p>
    <w:p>
      <w:pPr>
        <w:jc w:val="center"/>
      </w:pPr>
      <w:r>
        <w:rPr>
          <w:i/>
          <w:color w:val="595959"/>
          <w:sz w:val="28"/>
        </w:rPr>
        <w:t>Credit Memo — $2.0M Acquisition Debt Facility</w:t>
      </w:r>
    </w:p>
    <w:p/>
    <w:p>
      <w:pPr>
        <w:jc w:val="center"/>
      </w:pPr>
      <w:r>
        <w:rPr>
          <w:color w:val="595959"/>
          <w:sz w:val="20"/>
        </w:rPr>
        <w:t>Borrower: NewCo SPV (Shopify App Acquisition Vehicle) · Guarantor: Capitaliply Group</w:t>
        <w:br/>
        <w:t>Facility: $2,000,000 senior secured · Rate: 12% · Use of proceeds: target acquisition</w:t>
        <w:br/>
        <w:t>Prepared: 31 May 2026 · Status: PRE-CLOSE DRAFT</w:t>
      </w:r>
    </w:p>
    <w:p/>
    <w:p>
      <w:pPr>
        <w:pStyle w:val="Heading1"/>
      </w:pPr>
      <w:r>
        <w:rPr>
          <w:color w:val="1F3864"/>
        </w:rPr>
        <w:t>1. Executive Summary</w:t>
      </w:r>
    </w:p>
    <w:p>
      <w:r>
        <w:rPr>
          <w:rFonts w:ascii="Arial" w:hAnsi="Arial"/>
          <w:b w:val="0"/>
          <w:i w:val="0"/>
          <w:sz w:val="20"/>
        </w:rPr>
        <w:t>Capitaliply Group is a Shopify app roll-up holding seven monetized apps with combined Q1 2026 annualized revenue of $1.26M and EBITDA of $407K (32% margin). The Group proposes to raise $2.0M of senior secured debt to fund the $2.4M acquisition of an additional Shopify app (LTM Gross Revenue $984K, FCF $681K). The remaining $400K of the purchase price plus $100K of working capital are funded by a $500K equity cash-in from a new investor.</w:t>
      </w:r>
    </w:p>
    <w:p>
      <w:r>
        <w:rPr>
          <w:rFonts w:ascii="Arial" w:hAnsi="Arial"/>
          <w:b w:val="0"/>
          <w:i w:val="0"/>
          <w:sz w:val="20"/>
        </w:rPr>
        <w:t>Our recommendation to the lender is: PROCEED WITH CAUTION — structural protections required. The deal is strategically rational and the target asset trades at a fair multiple (3.5x FCF / 3.0x Net Revenue), but the combined entity does not pass standard DSCR covenants in either base case (0.99x) or stress case (0.86x), versus a typical 1.25x covenant threshold. The biggest single risk is the Shopify 15% revenue-share regime, which is not currently applied to these apps but, if enforced, would erase ~$339K/year of combined EBITDA. Multiple mitigants below.</w:t>
      </w:r>
    </w:p>
    <w:p>
      <w:pPr>
        <w:pStyle w:val="Heading3"/>
      </w:pPr>
      <w:r>
        <w:t>Key metrics at a glance</w:t>
      </w:r>
    </w:p>
    <w:tbl>
      <w:tblPr>
        <w:tblStyle w:val="LightGrid-Accent1"/>
        <w:tblW w:type="auto" w:w="0"/>
        <w:tblLook w:firstColumn="1" w:firstRow="1" w:lastColumn="0" w:lastRow="0" w:noHBand="0" w:noVBand="1" w:val="04A0"/>
      </w:tblPr>
      <w:tblGrid>
        <w:gridCol w:w="3249"/>
        <w:gridCol w:w="3249"/>
        <w:gridCol w:w="3249"/>
      </w:tblGrid>
      <w:tr>
        <w:tc>
          <w:tcPr>
            <w:tcW w:type="dxa" w:w="4320"/>
            <w:shd w:fill="1F3864"/>
          </w:tcPr>
          <w:p>
            <w:r/>
            <w:r>
              <w:rPr>
                <w:rFonts w:ascii="Arial" w:hAnsi="Arial"/>
                <w:b/>
                <w:color w:val="FFFFFF"/>
                <w:sz w:val="18"/>
              </w:rPr>
              <w:t>Metric</w:t>
            </w:r>
          </w:p>
        </w:tc>
        <w:tc>
          <w:tcPr>
            <w:tcW w:type="dxa" w:w="2160"/>
            <w:shd w:fill="1F3864"/>
          </w:tcPr>
          <w:p>
            <w:r/>
            <w:r>
              <w:rPr>
                <w:rFonts w:ascii="Arial" w:hAnsi="Arial"/>
                <w:b/>
                <w:color w:val="FFFFFF"/>
                <w:sz w:val="18"/>
              </w:rPr>
              <w:t>Value</w:t>
            </w:r>
          </w:p>
        </w:tc>
        <w:tc>
          <w:tcPr>
            <w:tcW w:type="dxa" w:w="3744"/>
            <w:shd w:fill="1F3864"/>
          </w:tcPr>
          <w:p>
            <w:r/>
            <w:r>
              <w:rPr>
                <w:rFonts w:ascii="Arial" w:hAnsi="Arial"/>
                <w:b/>
                <w:color w:val="FFFFFF"/>
                <w:sz w:val="18"/>
              </w:rPr>
              <w:t>Benchmark / Flag</w:t>
            </w:r>
          </w:p>
        </w:tc>
      </w:tr>
      <w:tr>
        <w:tc>
          <w:tcPr>
            <w:tcW w:type="dxa" w:w="4320"/>
          </w:tcPr>
          <w:p>
            <w:r/>
            <w:r>
              <w:rPr>
                <w:rFonts w:ascii="Arial" w:hAnsi="Arial"/>
                <w:sz w:val="18"/>
              </w:rPr>
              <w:t>Combined cash EBITDA (Capitaliply + Target FCF)</w:t>
            </w:r>
          </w:p>
        </w:tc>
        <w:tc>
          <w:tcPr>
            <w:tcW w:type="dxa" w:w="2160"/>
          </w:tcPr>
          <w:p>
            <w:r/>
            <w:r>
              <w:rPr>
                <w:rFonts w:ascii="Arial" w:hAnsi="Arial"/>
                <w:sz w:val="18"/>
              </w:rPr>
              <w:t>$1.09M</w:t>
            </w:r>
          </w:p>
        </w:tc>
        <w:tc>
          <w:tcPr>
            <w:tcW w:type="dxa" w:w="3744"/>
          </w:tcPr>
          <w:p>
            <w:r/>
            <w:r>
              <w:rPr>
                <w:rFonts w:ascii="Arial" w:hAnsi="Arial"/>
                <w:sz w:val="18"/>
              </w:rPr>
            </w:r>
          </w:p>
        </w:tc>
      </w:tr>
      <w:tr>
        <w:tc>
          <w:tcPr>
            <w:tcW w:type="dxa" w:w="4320"/>
          </w:tcPr>
          <w:p>
            <w:r/>
            <w:r>
              <w:rPr>
                <w:rFonts w:ascii="Arial" w:hAnsi="Arial"/>
                <w:sz w:val="18"/>
              </w:rPr>
              <w:t>Total debt post-deal</w:t>
            </w:r>
          </w:p>
        </w:tc>
        <w:tc>
          <w:tcPr>
            <w:tcW w:type="dxa" w:w="2160"/>
          </w:tcPr>
          <w:p>
            <w:r/>
            <w:r>
              <w:rPr>
                <w:rFonts w:ascii="Arial" w:hAnsi="Arial"/>
                <w:sz w:val="18"/>
              </w:rPr>
              <w:t>$3.13M</w:t>
            </w:r>
          </w:p>
        </w:tc>
        <w:tc>
          <w:tcPr>
            <w:tcW w:type="dxa" w:w="3744"/>
          </w:tcPr>
          <w:p>
            <w:r/>
            <w:r>
              <w:rPr>
                <w:rFonts w:ascii="Arial" w:hAnsi="Arial"/>
                <w:sz w:val="18"/>
              </w:rPr>
              <w:t>Existing $1.13M + new $2.0M</w:t>
            </w:r>
          </w:p>
        </w:tc>
      </w:tr>
      <w:tr>
        <w:tc>
          <w:tcPr>
            <w:tcW w:type="dxa" w:w="4320"/>
          </w:tcPr>
          <w:p>
            <w:r/>
            <w:r>
              <w:rPr>
                <w:rFonts w:ascii="Arial" w:hAnsi="Arial"/>
                <w:sz w:val="18"/>
              </w:rPr>
              <w:t>Debt / EBITDA (base)</w:t>
            </w:r>
          </w:p>
        </w:tc>
        <w:tc>
          <w:tcPr>
            <w:tcW w:type="dxa" w:w="2160"/>
          </w:tcPr>
          <w:p>
            <w:r/>
            <w:r>
              <w:rPr>
                <w:rFonts w:ascii="Arial" w:hAnsi="Arial"/>
                <w:sz w:val="18"/>
              </w:rPr>
              <w:t>2.9x</w:t>
            </w:r>
          </w:p>
        </w:tc>
        <w:tc>
          <w:tcPr>
            <w:tcW w:type="dxa" w:w="3744"/>
          </w:tcPr>
          <w:p>
            <w:r/>
            <w:r>
              <w:rPr>
                <w:rFonts w:ascii="Arial" w:hAnsi="Arial"/>
                <w:sz w:val="18"/>
              </w:rPr>
              <w:t>SMB ceiling ~3.5-4.0x — within range</w:t>
            </w:r>
          </w:p>
        </w:tc>
      </w:tr>
      <w:tr>
        <w:tc>
          <w:tcPr>
            <w:tcW w:type="dxa" w:w="4320"/>
          </w:tcPr>
          <w:p>
            <w:r/>
            <w:r>
              <w:rPr>
                <w:rFonts w:ascii="Arial" w:hAnsi="Arial"/>
                <w:sz w:val="18"/>
              </w:rPr>
              <w:t>DSCR (base)</w:t>
            </w:r>
          </w:p>
        </w:tc>
        <w:tc>
          <w:tcPr>
            <w:tcW w:type="dxa" w:w="2160"/>
          </w:tcPr>
          <w:p>
            <w:r/>
            <w:r>
              <w:rPr>
                <w:rFonts w:ascii="Arial" w:hAnsi="Arial"/>
                <w:sz w:val="18"/>
              </w:rPr>
              <w:t>0.99x</w:t>
            </w:r>
          </w:p>
        </w:tc>
        <w:tc>
          <w:tcPr>
            <w:tcW w:type="dxa" w:w="3744"/>
          </w:tcPr>
          <w:p>
            <w:r/>
            <w:r>
              <w:rPr>
                <w:rFonts w:ascii="Arial" w:hAnsi="Arial"/>
                <w:sz w:val="18"/>
              </w:rPr>
              <w:t>Standard covenant ≥1.25x — FAILS</w:t>
            </w:r>
          </w:p>
        </w:tc>
      </w:tr>
      <w:tr>
        <w:tc>
          <w:tcPr>
            <w:tcW w:type="dxa" w:w="4320"/>
          </w:tcPr>
          <w:p>
            <w:r/>
            <w:r>
              <w:rPr>
                <w:rFonts w:ascii="Arial" w:hAnsi="Arial"/>
                <w:sz w:val="18"/>
              </w:rPr>
              <w:t>DSCR (Shopify 15% stress)</w:t>
            </w:r>
          </w:p>
        </w:tc>
        <w:tc>
          <w:tcPr>
            <w:tcW w:type="dxa" w:w="2160"/>
          </w:tcPr>
          <w:p>
            <w:r/>
            <w:r>
              <w:rPr>
                <w:rFonts w:ascii="Arial" w:hAnsi="Arial"/>
                <w:sz w:val="18"/>
              </w:rPr>
              <w:t>0.86x</w:t>
            </w:r>
          </w:p>
        </w:tc>
        <w:tc>
          <w:tcPr>
            <w:tcW w:type="dxa" w:w="3744"/>
          </w:tcPr>
          <w:p>
            <w:r/>
            <w:r>
              <w:rPr>
                <w:rFonts w:ascii="Arial" w:hAnsi="Arial"/>
                <w:sz w:val="18"/>
              </w:rPr>
              <w:t>Severely fails</w:t>
            </w:r>
          </w:p>
        </w:tc>
      </w:tr>
      <w:tr>
        <w:tc>
          <w:tcPr>
            <w:tcW w:type="dxa" w:w="4320"/>
          </w:tcPr>
          <w:p>
            <w:r/>
            <w:r>
              <w:rPr>
                <w:rFonts w:ascii="Arial" w:hAnsi="Arial"/>
                <w:sz w:val="18"/>
              </w:rPr>
              <w:t>DSCR (Severe — Shopify 15% + portfolio -10%)</w:t>
            </w:r>
          </w:p>
        </w:tc>
        <w:tc>
          <w:tcPr>
            <w:tcW w:type="dxa" w:w="2160"/>
          </w:tcPr>
          <w:p>
            <w:r/>
            <w:r>
              <w:rPr>
                <w:rFonts w:ascii="Arial" w:hAnsi="Arial"/>
                <w:sz w:val="18"/>
              </w:rPr>
              <w:t>0.77x</w:t>
            </w:r>
          </w:p>
        </w:tc>
        <w:tc>
          <w:tcPr>
            <w:tcW w:type="dxa" w:w="3744"/>
          </w:tcPr>
          <w:p>
            <w:r/>
            <w:r>
              <w:rPr>
                <w:rFonts w:ascii="Arial" w:hAnsi="Arial"/>
                <w:sz w:val="18"/>
              </w:rPr>
              <w:t>Distressed scenario</w:t>
            </w:r>
          </w:p>
        </w:tc>
      </w:tr>
      <w:tr>
        <w:tc>
          <w:tcPr>
            <w:tcW w:type="dxa" w:w="4320"/>
          </w:tcPr>
          <w:p>
            <w:r/>
            <w:r>
              <w:rPr>
                <w:rFonts w:ascii="Arial" w:hAnsi="Arial"/>
                <w:sz w:val="18"/>
              </w:rPr>
              <w:t>Target deal multiple — EV / FCF</w:t>
            </w:r>
          </w:p>
        </w:tc>
        <w:tc>
          <w:tcPr>
            <w:tcW w:type="dxa" w:w="2160"/>
          </w:tcPr>
          <w:p>
            <w:r/>
            <w:r>
              <w:rPr>
                <w:rFonts w:ascii="Arial" w:hAnsi="Arial"/>
                <w:sz w:val="18"/>
              </w:rPr>
              <w:t>3.5x</w:t>
            </w:r>
          </w:p>
        </w:tc>
        <w:tc>
          <w:tcPr>
            <w:tcW w:type="dxa" w:w="3744"/>
          </w:tcPr>
          <w:p>
            <w:r/>
            <w:r>
              <w:rPr>
                <w:rFonts w:ascii="Arial" w:hAnsi="Arial"/>
                <w:sz w:val="18"/>
              </w:rPr>
              <w:t>Comp range 3-5x — FAIR</w:t>
            </w:r>
          </w:p>
        </w:tc>
      </w:tr>
      <w:tr>
        <w:tc>
          <w:tcPr>
            <w:tcW w:type="dxa" w:w="4320"/>
          </w:tcPr>
          <w:p>
            <w:r/>
            <w:r>
              <w:rPr>
                <w:rFonts w:ascii="Arial" w:hAnsi="Arial"/>
                <w:sz w:val="18"/>
              </w:rPr>
              <w:t>Target deal multiple — EV / Net Revenue</w:t>
            </w:r>
          </w:p>
        </w:tc>
        <w:tc>
          <w:tcPr>
            <w:tcW w:type="dxa" w:w="2160"/>
          </w:tcPr>
          <w:p>
            <w:r/>
            <w:r>
              <w:rPr>
                <w:rFonts w:ascii="Arial" w:hAnsi="Arial"/>
                <w:sz w:val="18"/>
              </w:rPr>
              <w:t>3.0x</w:t>
            </w:r>
          </w:p>
        </w:tc>
        <w:tc>
          <w:tcPr>
            <w:tcW w:type="dxa" w:w="3744"/>
          </w:tcPr>
          <w:p>
            <w:r/>
            <w:r>
              <w:rPr>
                <w:rFonts w:ascii="Arial" w:hAnsi="Arial"/>
                <w:sz w:val="18"/>
              </w:rPr>
              <w:t>Comp range 2-4x — MID</w:t>
            </w:r>
          </w:p>
        </w:tc>
      </w:tr>
      <w:tr>
        <w:tc>
          <w:tcPr>
            <w:tcW w:type="dxa" w:w="4320"/>
          </w:tcPr>
          <w:p>
            <w:r/>
            <w:r>
              <w:rPr>
                <w:rFonts w:ascii="Arial" w:hAnsi="Arial"/>
                <w:sz w:val="18"/>
              </w:rPr>
              <w:t>Organic portfolio growth (ex-UpCharge)</w:t>
            </w:r>
          </w:p>
        </w:tc>
        <w:tc>
          <w:tcPr>
            <w:tcW w:type="dxa" w:w="2160"/>
          </w:tcPr>
          <w:p>
            <w:r/>
            <w:r>
              <w:rPr>
                <w:rFonts w:ascii="Arial" w:hAnsi="Arial"/>
                <w:sz w:val="18"/>
              </w:rPr>
              <w:t>-5.4% YoY</w:t>
            </w:r>
          </w:p>
        </w:tc>
        <w:tc>
          <w:tcPr>
            <w:tcW w:type="dxa" w:w="3744"/>
          </w:tcPr>
          <w:p>
            <w:r/>
            <w:r>
              <w:rPr>
                <w:rFonts w:ascii="Arial" w:hAnsi="Arial"/>
                <w:sz w:val="18"/>
              </w:rPr>
              <w:t>Every existing app declining</w:t>
            </w:r>
          </w:p>
        </w:tc>
      </w:tr>
    </w:tbl>
    <w:p/>
    <w:p>
      <w:pPr>
        <w:pStyle w:val="Heading1"/>
      </w:pPr>
      <w:r>
        <w:rPr>
          <w:color w:val="1F3864"/>
        </w:rPr>
        <w:t>2. Business Overview</w:t>
      </w:r>
    </w:p>
    <w:p>
      <w:pPr>
        <w:pStyle w:val="Heading2"/>
      </w:pPr>
      <w:r>
        <w:t>2.1 Capitaliply Group portfolio</w:t>
      </w:r>
    </w:p>
    <w:p>
      <w:r>
        <w:rPr>
          <w:rFonts w:ascii="Arial" w:hAnsi="Arial"/>
          <w:b w:val="0"/>
          <w:i w:val="0"/>
          <w:sz w:val="20"/>
        </w:rPr>
        <w:t>Capitaliply operates a portfolio of Shopify merchant apps. Per-app annualized revenue: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160"/>
            <w:shd w:fill="1F3864"/>
          </w:tcPr>
          <w:p>
            <w:r/>
            <w:r>
              <w:rPr>
                <w:rFonts w:ascii="Arial" w:hAnsi="Arial"/>
                <w:b/>
                <w:color w:val="FFFFFF"/>
                <w:sz w:val="18"/>
              </w:rPr>
              <w:t>App</w:t>
            </w:r>
          </w:p>
        </w:tc>
        <w:tc>
          <w:tcPr>
            <w:tcW w:type="dxa" w:w="1440"/>
            <w:shd w:fill="1F3864"/>
          </w:tcPr>
          <w:p>
            <w:r/>
            <w:r>
              <w:rPr>
                <w:rFonts w:ascii="Arial" w:hAnsi="Arial"/>
                <w:b/>
                <w:color w:val="FFFFFF"/>
                <w:sz w:val="18"/>
              </w:rPr>
              <w:t>2025 ARR</w:t>
            </w:r>
          </w:p>
        </w:tc>
        <w:tc>
          <w:tcPr>
            <w:tcW w:type="dxa" w:w="1440"/>
            <w:shd w:fill="1F3864"/>
          </w:tcPr>
          <w:p>
            <w:r/>
            <w:r>
              <w:rPr>
                <w:rFonts w:ascii="Arial" w:hAnsi="Arial"/>
                <w:b/>
                <w:color w:val="FFFFFF"/>
                <w:sz w:val="18"/>
              </w:rPr>
              <w:t>2026 ARR</w:t>
            </w:r>
          </w:p>
        </w:tc>
        <w:tc>
          <w:tcPr>
            <w:tcW w:type="dxa" w:w="1152"/>
            <w:shd w:fill="1F3864"/>
          </w:tcPr>
          <w:p>
            <w:r/>
            <w:r>
              <w:rPr>
                <w:rFonts w:ascii="Arial" w:hAnsi="Arial"/>
                <w:b/>
                <w:color w:val="FFFFFF"/>
                <w:sz w:val="18"/>
              </w:rPr>
              <w:t>YoY</w:t>
            </w:r>
          </w:p>
        </w:tc>
        <w:tc>
          <w:tcPr>
            <w:tcW w:type="dxa" w:w="4032"/>
            <w:shd w:fill="1F3864"/>
          </w:tcPr>
          <w:p>
            <w:r/>
            <w:r>
              <w:rPr>
                <w:rFonts w:ascii="Arial" w:hAnsi="Arial"/>
                <w:b/>
                <w:color w:val="FFFFFF"/>
                <w:sz w:val="18"/>
              </w:rPr>
              <w:t>Comment</w:t>
            </w:r>
          </w:p>
        </w:tc>
      </w:tr>
      <w:tr>
        <w:tc>
          <w:tcPr>
            <w:tcW w:type="dxa" w:w="2160"/>
          </w:tcPr>
          <w:p>
            <w:r/>
            <w:r>
              <w:rPr>
                <w:rFonts w:ascii="Arial" w:hAnsi="Arial"/>
                <w:sz w:val="18"/>
              </w:rPr>
              <w:t>MBC Bundle</w:t>
            </w:r>
          </w:p>
        </w:tc>
        <w:tc>
          <w:tcPr>
            <w:tcW w:type="dxa" w:w="1440"/>
          </w:tcPr>
          <w:p>
            <w:r/>
            <w:r>
              <w:rPr>
                <w:rFonts w:ascii="Arial" w:hAnsi="Arial"/>
                <w:sz w:val="18"/>
              </w:rPr>
              <w:t>$423,827</w:t>
            </w:r>
          </w:p>
        </w:tc>
        <w:tc>
          <w:tcPr>
            <w:tcW w:type="dxa" w:w="1440"/>
          </w:tcPr>
          <w:p>
            <w:r/>
            <w:r>
              <w:rPr>
                <w:rFonts w:ascii="Arial" w:hAnsi="Arial"/>
                <w:sz w:val="18"/>
              </w:rPr>
              <w:t>$394,851</w:t>
            </w:r>
          </w:p>
        </w:tc>
        <w:tc>
          <w:tcPr>
            <w:tcW w:type="dxa" w:w="1152"/>
          </w:tcPr>
          <w:p>
            <w:r/>
            <w:r>
              <w:rPr>
                <w:rFonts w:ascii="Arial" w:hAnsi="Arial"/>
                <w:sz w:val="18"/>
              </w:rPr>
              <w:t>-6.8%</w:t>
            </w:r>
          </w:p>
        </w:tc>
        <w:tc>
          <w:tcPr>
            <w:tcW w:type="dxa" w:w="4032"/>
          </w:tcPr>
          <w:p>
            <w:r/>
            <w:r>
              <w:rPr>
                <w:rFonts w:ascii="Arial" w:hAnsi="Arial"/>
                <w:sz w:val="18"/>
              </w:rPr>
              <w:t>Largest app, declining</w:t>
            </w:r>
          </w:p>
        </w:tc>
      </w:tr>
      <w:tr>
        <w:tc>
          <w:tcPr>
            <w:tcW w:type="dxa" w:w="2160"/>
          </w:tcPr>
          <w:p>
            <w:r/>
            <w:r>
              <w:rPr>
                <w:rFonts w:ascii="Arial" w:hAnsi="Arial"/>
                <w:sz w:val="18"/>
              </w:rPr>
              <w:t>UpChargeFees</w:t>
            </w:r>
          </w:p>
        </w:tc>
        <w:tc>
          <w:tcPr>
            <w:tcW w:type="dxa" w:w="1440"/>
          </w:tcPr>
          <w:p>
            <w:r/>
            <w:r>
              <w:rPr>
                <w:rFonts w:ascii="Arial" w:hAnsi="Arial"/>
                <w:sz w:val="18"/>
              </w:rPr>
              <w:t>$295,235</w:t>
            </w:r>
          </w:p>
        </w:tc>
        <w:tc>
          <w:tcPr>
            <w:tcW w:type="dxa" w:w="1440"/>
          </w:tcPr>
          <w:p>
            <w:r/>
            <w:r>
              <w:rPr>
                <w:rFonts w:ascii="Arial" w:hAnsi="Arial"/>
                <w:sz w:val="18"/>
              </w:rPr>
              <w:t>$410,986</w:t>
            </w:r>
          </w:p>
        </w:tc>
        <w:tc>
          <w:tcPr>
            <w:tcW w:type="dxa" w:w="1152"/>
          </w:tcPr>
          <w:p>
            <w:r/>
            <w:r>
              <w:rPr>
                <w:rFonts w:ascii="Arial" w:hAnsi="Arial"/>
                <w:sz w:val="18"/>
              </w:rPr>
              <w:t>+39.2%</w:t>
            </w:r>
          </w:p>
        </w:tc>
        <w:tc>
          <w:tcPr>
            <w:tcW w:type="dxa" w:w="4032"/>
          </w:tcPr>
          <w:p>
            <w:r/>
            <w:r>
              <w:rPr>
                <w:rFonts w:ascii="Arial" w:hAnsi="Arial"/>
                <w:sz w:val="18"/>
              </w:rPr>
              <w:t>Acquired late 2025 — drives growth</w:t>
            </w:r>
          </w:p>
        </w:tc>
      </w:tr>
      <w:tr>
        <w:tc>
          <w:tcPr>
            <w:tcW w:type="dxa" w:w="2160"/>
          </w:tcPr>
          <w:p>
            <w:r/>
            <w:r>
              <w:rPr>
                <w:rFonts w:ascii="Arial" w:hAnsi="Arial"/>
                <w:sz w:val="18"/>
              </w:rPr>
              <w:t>Split Payments</w:t>
            </w:r>
          </w:p>
        </w:tc>
        <w:tc>
          <w:tcPr>
            <w:tcW w:type="dxa" w:w="1440"/>
          </w:tcPr>
          <w:p>
            <w:r/>
            <w:r>
              <w:rPr>
                <w:rFonts w:ascii="Arial" w:hAnsi="Arial"/>
                <w:sz w:val="18"/>
              </w:rPr>
              <w:t>$185,938</w:t>
            </w:r>
          </w:p>
        </w:tc>
        <w:tc>
          <w:tcPr>
            <w:tcW w:type="dxa" w:w="1440"/>
          </w:tcPr>
          <w:p>
            <w:r/>
            <w:r>
              <w:rPr>
                <w:rFonts w:ascii="Arial" w:hAnsi="Arial"/>
                <w:sz w:val="18"/>
              </w:rPr>
              <w:t>$184,889</w:t>
            </w:r>
          </w:p>
        </w:tc>
        <w:tc>
          <w:tcPr>
            <w:tcW w:type="dxa" w:w="1152"/>
          </w:tcPr>
          <w:p>
            <w:r/>
            <w:r>
              <w:rPr>
                <w:rFonts w:ascii="Arial" w:hAnsi="Arial"/>
                <w:sz w:val="18"/>
              </w:rPr>
              <w:t>-0.6%</w:t>
            </w:r>
          </w:p>
        </w:tc>
        <w:tc>
          <w:tcPr>
            <w:tcW w:type="dxa" w:w="4032"/>
          </w:tcPr>
          <w:p>
            <w:r/>
            <w:r>
              <w:rPr>
                <w:rFonts w:ascii="Arial" w:hAnsi="Arial"/>
                <w:sz w:val="18"/>
              </w:rPr>
              <w:t>Flat</w:t>
            </w:r>
          </w:p>
        </w:tc>
      </w:tr>
      <w:tr>
        <w:tc>
          <w:tcPr>
            <w:tcW w:type="dxa" w:w="2160"/>
          </w:tcPr>
          <w:p>
            <w:r/>
            <w:r>
              <w:rPr>
                <w:rFonts w:ascii="Arial" w:hAnsi="Arial"/>
                <w:sz w:val="18"/>
              </w:rPr>
              <w:t>RecurrinGo</w:t>
            </w:r>
          </w:p>
        </w:tc>
        <w:tc>
          <w:tcPr>
            <w:tcW w:type="dxa" w:w="1440"/>
          </w:tcPr>
          <w:p>
            <w:r/>
            <w:r>
              <w:rPr>
                <w:rFonts w:ascii="Arial" w:hAnsi="Arial"/>
                <w:sz w:val="18"/>
              </w:rPr>
              <w:t>$167,894</w:t>
            </w:r>
          </w:p>
        </w:tc>
        <w:tc>
          <w:tcPr>
            <w:tcW w:type="dxa" w:w="1440"/>
          </w:tcPr>
          <w:p>
            <w:r/>
            <w:r>
              <w:rPr>
                <w:rFonts w:ascii="Arial" w:hAnsi="Arial"/>
                <w:sz w:val="18"/>
              </w:rPr>
              <w:t>$153,796</w:t>
            </w:r>
          </w:p>
        </w:tc>
        <w:tc>
          <w:tcPr>
            <w:tcW w:type="dxa" w:w="1152"/>
          </w:tcPr>
          <w:p>
            <w:r/>
            <w:r>
              <w:rPr>
                <w:rFonts w:ascii="Arial" w:hAnsi="Arial"/>
                <w:sz w:val="18"/>
              </w:rPr>
              <w:t>-8.4%</w:t>
            </w:r>
          </w:p>
        </w:tc>
        <w:tc>
          <w:tcPr>
            <w:tcW w:type="dxa" w:w="4032"/>
          </w:tcPr>
          <w:p>
            <w:r/>
            <w:r>
              <w:rPr>
                <w:rFonts w:ascii="Arial" w:hAnsi="Arial"/>
                <w:sz w:val="18"/>
              </w:rPr>
              <w:t>Declining</w:t>
            </w:r>
          </w:p>
        </w:tc>
      </w:tr>
      <w:tr>
        <w:tc>
          <w:tcPr>
            <w:tcW w:type="dxa" w:w="2160"/>
          </w:tcPr>
          <w:p>
            <w:r/>
            <w:r>
              <w:rPr>
                <w:rFonts w:ascii="Arial" w:hAnsi="Arial"/>
                <w:sz w:val="18"/>
              </w:rPr>
              <w:t>Cartly</w:t>
            </w:r>
          </w:p>
        </w:tc>
        <w:tc>
          <w:tcPr>
            <w:tcW w:type="dxa" w:w="1440"/>
          </w:tcPr>
          <w:p>
            <w:r/>
            <w:r>
              <w:rPr>
                <w:rFonts w:ascii="Arial" w:hAnsi="Arial"/>
                <w:sz w:val="18"/>
              </w:rPr>
              <w:t>$100,833</w:t>
            </w:r>
          </w:p>
        </w:tc>
        <w:tc>
          <w:tcPr>
            <w:tcW w:type="dxa" w:w="1440"/>
          </w:tcPr>
          <w:p>
            <w:r/>
            <w:r>
              <w:rPr>
                <w:rFonts w:ascii="Arial" w:hAnsi="Arial"/>
                <w:sz w:val="18"/>
              </w:rPr>
              <w:t>$98,452</w:t>
            </w:r>
          </w:p>
        </w:tc>
        <w:tc>
          <w:tcPr>
            <w:tcW w:type="dxa" w:w="1152"/>
          </w:tcPr>
          <w:p>
            <w:r/>
            <w:r>
              <w:rPr>
                <w:rFonts w:ascii="Arial" w:hAnsi="Arial"/>
                <w:sz w:val="18"/>
              </w:rPr>
              <w:t>-2.4%</w:t>
            </w:r>
          </w:p>
        </w:tc>
        <w:tc>
          <w:tcPr>
            <w:tcW w:type="dxa" w:w="4032"/>
          </w:tcPr>
          <w:p>
            <w:r/>
            <w:r>
              <w:rPr>
                <w:rFonts w:ascii="Arial" w:hAnsi="Arial"/>
                <w:sz w:val="18"/>
              </w:rPr>
              <w:t>Stable</w:t>
            </w:r>
          </w:p>
        </w:tc>
      </w:tr>
      <w:tr>
        <w:tc>
          <w:tcPr>
            <w:tcW w:type="dxa" w:w="2160"/>
          </w:tcPr>
          <w:p>
            <w:r/>
            <w:r>
              <w:rPr>
                <w:rFonts w:ascii="Arial" w:hAnsi="Arial"/>
                <w:sz w:val="18"/>
              </w:rPr>
              <w:t>SLOT</w:t>
            </w:r>
          </w:p>
        </w:tc>
        <w:tc>
          <w:tcPr>
            <w:tcW w:type="dxa" w:w="1440"/>
          </w:tcPr>
          <w:p>
            <w:r/>
            <w:r>
              <w:rPr>
                <w:rFonts w:ascii="Arial" w:hAnsi="Arial"/>
                <w:sz w:val="18"/>
              </w:rPr>
              <w:t>$37,586</w:t>
            </w:r>
          </w:p>
        </w:tc>
        <w:tc>
          <w:tcPr>
            <w:tcW w:type="dxa" w:w="1440"/>
          </w:tcPr>
          <w:p>
            <w:r/>
            <w:r>
              <w:rPr>
                <w:rFonts w:ascii="Arial" w:hAnsi="Arial"/>
                <w:sz w:val="18"/>
              </w:rPr>
              <w:t>$34,751</w:t>
            </w:r>
          </w:p>
        </w:tc>
        <w:tc>
          <w:tcPr>
            <w:tcW w:type="dxa" w:w="1152"/>
          </w:tcPr>
          <w:p>
            <w:r/>
            <w:r>
              <w:rPr>
                <w:rFonts w:ascii="Arial" w:hAnsi="Arial"/>
                <w:sz w:val="18"/>
              </w:rPr>
              <w:t>-7.5%</w:t>
            </w:r>
          </w:p>
        </w:tc>
        <w:tc>
          <w:tcPr>
            <w:tcW w:type="dxa" w:w="4032"/>
          </w:tcPr>
          <w:p>
            <w:r/>
            <w:r>
              <w:rPr>
                <w:rFonts w:ascii="Arial" w:hAnsi="Arial"/>
                <w:sz w:val="18"/>
              </w:rPr>
              <w:t>Small, declining</w:t>
            </w:r>
          </w:p>
        </w:tc>
      </w:tr>
      <w:tr>
        <w:tc>
          <w:tcPr>
            <w:tcW w:type="dxa" w:w="2160"/>
          </w:tcPr>
          <w:p>
            <w:r/>
            <w:r>
              <w:rPr>
                <w:rFonts w:ascii="Arial" w:hAnsi="Arial"/>
                <w:sz w:val="18"/>
              </w:rPr>
              <w:t>TOTAL portfolio</w:t>
            </w:r>
          </w:p>
        </w:tc>
        <w:tc>
          <w:tcPr>
            <w:tcW w:type="dxa" w:w="1440"/>
          </w:tcPr>
          <w:p>
            <w:r/>
            <w:r>
              <w:rPr>
                <w:rFonts w:ascii="Arial" w:hAnsi="Arial"/>
                <w:sz w:val="18"/>
              </w:rPr>
              <w:t>$1,211,313</w:t>
            </w:r>
          </w:p>
        </w:tc>
        <w:tc>
          <w:tcPr>
            <w:tcW w:type="dxa" w:w="1440"/>
          </w:tcPr>
          <w:p>
            <w:r/>
            <w:r>
              <w:rPr>
                <w:rFonts w:ascii="Arial" w:hAnsi="Arial"/>
                <w:sz w:val="18"/>
              </w:rPr>
              <w:t>$1,277,725</w:t>
            </w:r>
          </w:p>
        </w:tc>
        <w:tc>
          <w:tcPr>
            <w:tcW w:type="dxa" w:w="1152"/>
          </w:tcPr>
          <w:p>
            <w:r/>
            <w:r>
              <w:rPr>
                <w:rFonts w:ascii="Arial" w:hAnsi="Arial"/>
                <w:sz w:val="18"/>
              </w:rPr>
              <w:t>+5.5%</w:t>
            </w:r>
          </w:p>
        </w:tc>
        <w:tc>
          <w:tcPr>
            <w:tcW w:type="dxa" w:w="4032"/>
          </w:tcPr>
          <w:p>
            <w:r/>
            <w:r>
              <w:rPr>
                <w:rFonts w:ascii="Arial" w:hAnsi="Arial"/>
                <w:sz w:val="18"/>
              </w:rPr>
              <w:t>Reported growth</w:t>
            </w:r>
          </w:p>
        </w:tc>
      </w:tr>
      <w:tr>
        <w:tc>
          <w:tcPr>
            <w:tcW w:type="dxa" w:w="2160"/>
          </w:tcPr>
          <w:p>
            <w:r/>
            <w:r>
              <w:rPr>
                <w:rFonts w:ascii="Arial" w:hAnsi="Arial"/>
                <w:sz w:val="18"/>
              </w:rPr>
              <w:t>ORGANIC (ex-UpChargeFees)</w:t>
            </w:r>
          </w:p>
        </w:tc>
        <w:tc>
          <w:tcPr>
            <w:tcW w:type="dxa" w:w="1440"/>
          </w:tcPr>
          <w:p>
            <w:r/>
            <w:r>
              <w:rPr>
                <w:rFonts w:ascii="Arial" w:hAnsi="Arial"/>
                <w:sz w:val="18"/>
              </w:rPr>
              <w:t>$916,078</w:t>
            </w:r>
          </w:p>
        </w:tc>
        <w:tc>
          <w:tcPr>
            <w:tcW w:type="dxa" w:w="1440"/>
          </w:tcPr>
          <w:p>
            <w:r/>
            <w:r>
              <w:rPr>
                <w:rFonts w:ascii="Arial" w:hAnsi="Arial"/>
                <w:sz w:val="18"/>
              </w:rPr>
              <w:t>$866,739</w:t>
            </w:r>
          </w:p>
        </w:tc>
        <w:tc>
          <w:tcPr>
            <w:tcW w:type="dxa" w:w="1152"/>
          </w:tcPr>
          <w:p>
            <w:r/>
            <w:r>
              <w:rPr>
                <w:rFonts w:ascii="Arial" w:hAnsi="Arial"/>
                <w:sz w:val="18"/>
              </w:rPr>
              <w:t>-5.4%</w:t>
            </w:r>
          </w:p>
        </w:tc>
        <w:tc>
          <w:tcPr>
            <w:tcW w:type="dxa" w:w="4032"/>
          </w:tcPr>
          <w:p>
            <w:r/>
            <w:r>
              <w:rPr>
                <w:rFonts w:ascii="Arial" w:hAnsi="Arial"/>
                <w:sz w:val="18"/>
              </w:rPr>
              <w:t>⚠ Organic in decline</w:t>
            </w:r>
          </w:p>
        </w:tc>
      </w:tr>
    </w:tbl>
    <w:p>
      <w:r>
        <w:rPr>
          <w:rFonts w:ascii="Arial" w:hAnsi="Arial"/>
          <w:b/>
          <w:i w:val="0"/>
          <w:color w:val="C00000"/>
          <w:sz w:val="20"/>
        </w:rPr>
        <w:t>CRITICAL FINDING: Every existing app in the portfolio is declining 2-8% year-over-year. The reported +5.5% top-line growth is entirely attributable to UpChargeFees, which was acquired in late 2025. Organic portfolio revenue is contracting at -5.4%. This is a structural concern: the business model relies on continuous M&amp;A to mask organic decline.</w:t>
      </w:r>
    </w:p>
    <w:p/>
    <w:p>
      <w:pPr>
        <w:pStyle w:val="Heading2"/>
      </w:pPr>
      <w:r>
        <w:t>2.2 Capitaliply P&amp;L summary</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160"/>
            <w:shd w:fill="1F3864"/>
          </w:tcPr>
          <w:p>
            <w:r/>
            <w:r>
              <w:rPr>
                <w:rFonts w:ascii="Arial" w:hAnsi="Arial"/>
                <w:b/>
                <w:color w:val="FFFFFF"/>
                <w:sz w:val="18"/>
              </w:rPr>
              <w:t>Line</w:t>
            </w:r>
          </w:p>
        </w:tc>
        <w:tc>
          <w:tcPr>
            <w:tcW w:type="dxa" w:w="1584"/>
            <w:shd w:fill="1F3864"/>
          </w:tcPr>
          <w:p>
            <w:r/>
            <w:r>
              <w:rPr>
                <w:rFonts w:ascii="Arial" w:hAnsi="Arial"/>
                <w:b/>
                <w:color w:val="FFFFFF"/>
                <w:sz w:val="18"/>
              </w:rPr>
              <w:t>FY 2025</w:t>
            </w:r>
          </w:p>
        </w:tc>
        <w:tc>
          <w:tcPr>
            <w:tcW w:type="dxa" w:w="1584"/>
            <w:shd w:fill="1F3864"/>
          </w:tcPr>
          <w:p>
            <w:r/>
            <w:r>
              <w:rPr>
                <w:rFonts w:ascii="Arial" w:hAnsi="Arial"/>
                <w:b/>
                <w:color w:val="FFFFFF"/>
                <w:sz w:val="18"/>
              </w:rPr>
              <w:t>Q1 2026</w:t>
            </w:r>
          </w:p>
        </w:tc>
        <w:tc>
          <w:tcPr>
            <w:tcW w:type="dxa" w:w="2016"/>
            <w:shd w:fill="1F3864"/>
          </w:tcPr>
          <w:p>
            <w:r/>
            <w:r>
              <w:rPr>
                <w:rFonts w:ascii="Arial" w:hAnsi="Arial"/>
                <w:b/>
                <w:color w:val="FFFFFF"/>
                <w:sz w:val="18"/>
              </w:rPr>
              <w:t>2026E (annualized)</w:t>
            </w:r>
          </w:p>
        </w:tc>
        <w:tc>
          <w:tcPr>
            <w:tcW w:type="dxa" w:w="1152"/>
            <w:shd w:fill="1F3864"/>
          </w:tcPr>
          <w:p>
            <w:r/>
            <w:r>
              <w:rPr>
                <w:rFonts w:ascii="Arial" w:hAnsi="Arial"/>
                <w:b/>
                <w:color w:val="FFFFFF"/>
                <w:sz w:val="18"/>
              </w:rPr>
              <w:t>YoY</w:t>
            </w:r>
          </w:p>
        </w:tc>
      </w:tr>
      <w:tr>
        <w:tc>
          <w:tcPr>
            <w:tcW w:type="dxa" w:w="2160"/>
          </w:tcPr>
          <w:p>
            <w:r/>
            <w:r>
              <w:rPr>
                <w:rFonts w:ascii="Arial" w:hAnsi="Arial"/>
                <w:sz w:val="18"/>
              </w:rPr>
              <w:t>Revenue</w:t>
            </w:r>
          </w:p>
        </w:tc>
        <w:tc>
          <w:tcPr>
            <w:tcW w:type="dxa" w:w="1584"/>
          </w:tcPr>
          <w:p>
            <w:r/>
            <w:r>
              <w:rPr>
                <w:rFonts w:ascii="Arial" w:hAnsi="Arial"/>
                <w:sz w:val="18"/>
              </w:rPr>
              <w:t>$790,146</w:t>
            </w:r>
          </w:p>
        </w:tc>
        <w:tc>
          <w:tcPr>
            <w:tcW w:type="dxa" w:w="1584"/>
          </w:tcPr>
          <w:p>
            <w:r/>
            <w:r>
              <w:rPr>
                <w:rFonts w:ascii="Arial" w:hAnsi="Arial"/>
                <w:sz w:val="18"/>
              </w:rPr>
              <w:t>$315,055</w:t>
            </w:r>
          </w:p>
        </w:tc>
        <w:tc>
          <w:tcPr>
            <w:tcW w:type="dxa" w:w="2016"/>
          </w:tcPr>
          <w:p>
            <w:r/>
            <w:r>
              <w:rPr>
                <w:rFonts w:ascii="Arial" w:hAnsi="Arial"/>
                <w:sz w:val="18"/>
              </w:rPr>
              <w:t>$1,260,222</w:t>
            </w:r>
          </w:p>
        </w:tc>
        <w:tc>
          <w:tcPr>
            <w:tcW w:type="dxa" w:w="1152"/>
          </w:tcPr>
          <w:p>
            <w:r/>
            <w:r>
              <w:rPr>
                <w:rFonts w:ascii="Arial" w:hAnsi="Arial"/>
                <w:sz w:val="18"/>
              </w:rPr>
              <w:t>+59.5%</w:t>
            </w:r>
          </w:p>
        </w:tc>
      </w:tr>
      <w:tr>
        <w:tc>
          <w:tcPr>
            <w:tcW w:type="dxa" w:w="2160"/>
          </w:tcPr>
          <w:p>
            <w:r/>
            <w:r>
              <w:rPr>
                <w:rFonts w:ascii="Arial" w:hAnsi="Arial"/>
                <w:sz w:val="18"/>
              </w:rPr>
              <w:t>Cost of Revenue</w:t>
            </w:r>
          </w:p>
        </w:tc>
        <w:tc>
          <w:tcPr>
            <w:tcW w:type="dxa" w:w="1584"/>
          </w:tcPr>
          <w:p>
            <w:r/>
            <w:r>
              <w:rPr>
                <w:rFonts w:ascii="Arial" w:hAnsi="Arial"/>
                <w:sz w:val="18"/>
              </w:rPr>
              <w:t>$452,866</w:t>
            </w:r>
          </w:p>
        </w:tc>
        <w:tc>
          <w:tcPr>
            <w:tcW w:type="dxa" w:w="1584"/>
          </w:tcPr>
          <w:p>
            <w:r/>
            <w:r>
              <w:rPr>
                <w:rFonts w:ascii="Arial" w:hAnsi="Arial"/>
                <w:sz w:val="18"/>
              </w:rPr>
              <w:t>$201,960</w:t>
            </w:r>
          </w:p>
        </w:tc>
        <w:tc>
          <w:tcPr>
            <w:tcW w:type="dxa" w:w="2016"/>
          </w:tcPr>
          <w:p>
            <w:r/>
            <w:r>
              <w:rPr>
                <w:rFonts w:ascii="Arial" w:hAnsi="Arial"/>
                <w:sz w:val="18"/>
              </w:rPr>
              <w:t>$807,838</w:t>
            </w:r>
          </w:p>
        </w:tc>
        <w:tc>
          <w:tcPr>
            <w:tcW w:type="dxa" w:w="1152"/>
          </w:tcPr>
          <w:p>
            <w:r/>
            <w:r>
              <w:rPr>
                <w:rFonts w:ascii="Arial" w:hAnsi="Arial"/>
                <w:sz w:val="18"/>
              </w:rPr>
              <w:t>+78.4%</w:t>
            </w:r>
          </w:p>
        </w:tc>
      </w:tr>
      <w:tr>
        <w:tc>
          <w:tcPr>
            <w:tcW w:type="dxa" w:w="2160"/>
          </w:tcPr>
          <w:p>
            <w:r/>
            <w:r>
              <w:rPr>
                <w:rFonts w:ascii="Arial" w:hAnsi="Arial"/>
                <w:sz w:val="18"/>
              </w:rPr>
              <w:t>Operating Income</w:t>
            </w:r>
          </w:p>
        </w:tc>
        <w:tc>
          <w:tcPr>
            <w:tcW w:type="dxa" w:w="1584"/>
          </w:tcPr>
          <w:p>
            <w:r/>
            <w:r>
              <w:rPr>
                <w:rFonts w:ascii="Arial" w:hAnsi="Arial"/>
                <w:sz w:val="18"/>
              </w:rPr>
              <w:t>$337,280</w:t>
            </w:r>
          </w:p>
        </w:tc>
        <w:tc>
          <w:tcPr>
            <w:tcW w:type="dxa" w:w="1584"/>
          </w:tcPr>
          <w:p>
            <w:r/>
            <w:r>
              <w:rPr>
                <w:rFonts w:ascii="Arial" w:hAnsi="Arial"/>
                <w:sz w:val="18"/>
              </w:rPr>
              <w:t>$113,096</w:t>
            </w:r>
          </w:p>
        </w:tc>
        <w:tc>
          <w:tcPr>
            <w:tcW w:type="dxa" w:w="2016"/>
          </w:tcPr>
          <w:p>
            <w:r/>
            <w:r>
              <w:rPr>
                <w:rFonts w:ascii="Arial" w:hAnsi="Arial"/>
                <w:sz w:val="18"/>
              </w:rPr>
              <w:t>$452,384</w:t>
            </w:r>
          </w:p>
        </w:tc>
        <w:tc>
          <w:tcPr>
            <w:tcW w:type="dxa" w:w="1152"/>
          </w:tcPr>
          <w:p>
            <w:r/>
            <w:r>
              <w:rPr>
                <w:rFonts w:ascii="Arial" w:hAnsi="Arial"/>
                <w:sz w:val="18"/>
              </w:rPr>
              <w:t>+34.1%</w:t>
            </w:r>
          </w:p>
        </w:tc>
      </w:tr>
      <w:tr>
        <w:tc>
          <w:tcPr>
            <w:tcW w:type="dxa" w:w="2160"/>
          </w:tcPr>
          <w:p>
            <w:r/>
            <w:r>
              <w:rPr>
                <w:rFonts w:ascii="Arial" w:hAnsi="Arial"/>
                <w:sz w:val="18"/>
              </w:rPr>
              <w:t>GB Expenses</w:t>
            </w:r>
          </w:p>
        </w:tc>
        <w:tc>
          <w:tcPr>
            <w:tcW w:type="dxa" w:w="1584"/>
          </w:tcPr>
          <w:p>
            <w:r/>
            <w:r>
              <w:rPr>
                <w:rFonts w:ascii="Arial" w:hAnsi="Arial"/>
                <w:sz w:val="18"/>
              </w:rPr>
              <w:t>$117,697</w:t>
            </w:r>
          </w:p>
        </w:tc>
        <w:tc>
          <w:tcPr>
            <w:tcW w:type="dxa" w:w="1584"/>
          </w:tcPr>
          <w:p>
            <w:r/>
            <w:r>
              <w:rPr>
                <w:rFonts w:ascii="Arial" w:hAnsi="Arial"/>
                <w:sz w:val="18"/>
              </w:rPr>
              <w:t>$31,690</w:t>
            </w:r>
          </w:p>
        </w:tc>
        <w:tc>
          <w:tcPr>
            <w:tcW w:type="dxa" w:w="2016"/>
          </w:tcPr>
          <w:p>
            <w:r/>
            <w:r>
              <w:rPr>
                <w:rFonts w:ascii="Arial" w:hAnsi="Arial"/>
                <w:sz w:val="18"/>
              </w:rPr>
              <w:t>$126,762</w:t>
            </w:r>
          </w:p>
        </w:tc>
        <w:tc>
          <w:tcPr>
            <w:tcW w:type="dxa" w:w="1152"/>
          </w:tcPr>
          <w:p>
            <w:r/>
            <w:r>
              <w:rPr>
                <w:rFonts w:ascii="Arial" w:hAnsi="Arial"/>
                <w:sz w:val="18"/>
              </w:rPr>
              <w:t>+7.7%</w:t>
            </w:r>
          </w:p>
        </w:tc>
      </w:tr>
      <w:tr>
        <w:tc>
          <w:tcPr>
            <w:tcW w:type="dxa" w:w="2160"/>
          </w:tcPr>
          <w:p>
            <w:r/>
            <w:r>
              <w:rPr>
                <w:rFonts w:ascii="Arial" w:hAnsi="Arial"/>
                <w:sz w:val="18"/>
              </w:rPr>
              <w:t>EBITDA</w:t>
            </w:r>
          </w:p>
        </w:tc>
        <w:tc>
          <w:tcPr>
            <w:tcW w:type="dxa" w:w="1584"/>
          </w:tcPr>
          <w:p>
            <w:r/>
            <w:r>
              <w:rPr>
                <w:rFonts w:ascii="Arial" w:hAnsi="Arial"/>
                <w:sz w:val="18"/>
              </w:rPr>
              <w:t>$253,136</w:t>
            </w:r>
          </w:p>
        </w:tc>
        <w:tc>
          <w:tcPr>
            <w:tcW w:type="dxa" w:w="1584"/>
          </w:tcPr>
          <w:p>
            <w:r/>
            <w:r>
              <w:rPr>
                <w:rFonts w:ascii="Arial" w:hAnsi="Arial"/>
                <w:sz w:val="18"/>
              </w:rPr>
              <w:t>$101,706</w:t>
            </w:r>
          </w:p>
        </w:tc>
        <w:tc>
          <w:tcPr>
            <w:tcW w:type="dxa" w:w="2016"/>
          </w:tcPr>
          <w:p>
            <w:r/>
            <w:r>
              <w:rPr>
                <w:rFonts w:ascii="Arial" w:hAnsi="Arial"/>
                <w:sz w:val="18"/>
              </w:rPr>
              <w:t>$406,822</w:t>
            </w:r>
          </w:p>
        </w:tc>
        <w:tc>
          <w:tcPr>
            <w:tcW w:type="dxa" w:w="1152"/>
          </w:tcPr>
          <w:p>
            <w:r/>
            <w:r>
              <w:rPr>
                <w:rFonts w:ascii="Arial" w:hAnsi="Arial"/>
                <w:sz w:val="18"/>
              </w:rPr>
              <w:t>+60.7%</w:t>
            </w:r>
          </w:p>
        </w:tc>
      </w:tr>
      <w:tr>
        <w:tc>
          <w:tcPr>
            <w:tcW w:type="dxa" w:w="2160"/>
          </w:tcPr>
          <w:p>
            <w:r/>
            <w:r>
              <w:rPr>
                <w:rFonts w:ascii="Arial" w:hAnsi="Arial"/>
                <w:sz w:val="18"/>
              </w:rPr>
              <w:t>EBITDA margin</w:t>
            </w:r>
          </w:p>
        </w:tc>
        <w:tc>
          <w:tcPr>
            <w:tcW w:type="dxa" w:w="1584"/>
          </w:tcPr>
          <w:p>
            <w:r/>
            <w:r>
              <w:rPr>
                <w:rFonts w:ascii="Arial" w:hAnsi="Arial"/>
                <w:sz w:val="18"/>
              </w:rPr>
              <w:t>32.0%</w:t>
            </w:r>
          </w:p>
        </w:tc>
        <w:tc>
          <w:tcPr>
            <w:tcW w:type="dxa" w:w="1584"/>
          </w:tcPr>
          <w:p>
            <w:r/>
            <w:r>
              <w:rPr>
                <w:rFonts w:ascii="Arial" w:hAnsi="Arial"/>
                <w:sz w:val="18"/>
              </w:rPr>
              <w:t>32.3%</w:t>
            </w:r>
          </w:p>
        </w:tc>
        <w:tc>
          <w:tcPr>
            <w:tcW w:type="dxa" w:w="2016"/>
          </w:tcPr>
          <w:p>
            <w:r/>
            <w:r>
              <w:rPr>
                <w:rFonts w:ascii="Arial" w:hAnsi="Arial"/>
                <w:sz w:val="18"/>
              </w:rPr>
              <w:t>32.3%</w:t>
            </w:r>
          </w:p>
        </w:tc>
        <w:tc>
          <w:tcPr>
            <w:tcW w:type="dxa" w:w="1152"/>
          </w:tcPr>
          <w:p>
            <w:r/>
            <w:r>
              <w:rPr>
                <w:rFonts w:ascii="Arial" w:hAnsi="Arial"/>
                <w:sz w:val="18"/>
              </w:rPr>
              <w:t>+0.3 pp</w:t>
            </w:r>
          </w:p>
        </w:tc>
      </w:tr>
      <w:tr>
        <w:tc>
          <w:tcPr>
            <w:tcW w:type="dxa" w:w="2160"/>
          </w:tcPr>
          <w:p>
            <w:r/>
            <w:r>
              <w:rPr>
                <w:rFonts w:ascii="Arial" w:hAnsi="Arial"/>
                <w:sz w:val="18"/>
              </w:rPr>
              <w:t>NIBT</w:t>
            </w:r>
          </w:p>
        </w:tc>
        <w:tc>
          <w:tcPr>
            <w:tcW w:type="dxa" w:w="1584"/>
          </w:tcPr>
          <w:p>
            <w:r/>
            <w:r>
              <w:rPr>
                <w:rFonts w:ascii="Arial" w:hAnsi="Arial"/>
                <w:sz w:val="18"/>
              </w:rPr>
              <w:t>$219,583</w:t>
            </w:r>
          </w:p>
        </w:tc>
        <w:tc>
          <w:tcPr>
            <w:tcW w:type="dxa" w:w="1584"/>
          </w:tcPr>
          <w:p>
            <w:r/>
            <w:r>
              <w:rPr>
                <w:rFonts w:ascii="Arial" w:hAnsi="Arial"/>
                <w:sz w:val="18"/>
              </w:rPr>
              <w:t>$81,406</w:t>
            </w:r>
          </w:p>
        </w:tc>
        <w:tc>
          <w:tcPr>
            <w:tcW w:type="dxa" w:w="2016"/>
          </w:tcPr>
          <w:p>
            <w:r/>
            <w:r>
              <w:rPr>
                <w:rFonts w:ascii="Arial" w:hAnsi="Arial"/>
                <w:sz w:val="18"/>
              </w:rPr>
              <w:t>$325,622</w:t>
            </w:r>
          </w:p>
        </w:tc>
        <w:tc>
          <w:tcPr>
            <w:tcW w:type="dxa" w:w="1152"/>
          </w:tcPr>
          <w:p>
            <w:r/>
            <w:r>
              <w:rPr>
                <w:rFonts w:ascii="Arial" w:hAnsi="Arial"/>
                <w:sz w:val="18"/>
              </w:rPr>
              <w:t>+48.3%</w:t>
            </w:r>
          </w:p>
        </w:tc>
      </w:tr>
    </w:tbl>
    <w:p>
      <w:r>
        <w:rPr>
          <w:rFonts w:ascii="Arial" w:hAnsi="Arial"/>
          <w:b w:val="0"/>
          <w:i/>
          <w:sz w:val="18"/>
        </w:rPr>
        <w:t>Caveat on annualization: Q1 2026 × 4 assumes no seasonality. Shopify apps generally have Q4 seasonality positive (holiday peak), so the Q1 × 4 estimate is moderately conservative.</w:t>
      </w:r>
    </w:p>
    <w:p/>
    <w:p>
      <w:pPr>
        <w:pStyle w:val="Heading2"/>
      </w:pPr>
      <w:r>
        <w:t>2.3 Target company</w:t>
      </w:r>
    </w:p>
    <w:p>
      <w:r>
        <w:rPr>
          <w:rFonts w:ascii="Arial" w:hAnsi="Arial"/>
          <w:b w:val="0"/>
          <w:i w:val="0"/>
          <w:sz w:val="20"/>
        </w:rPr>
        <w:t>Per seller-provided figures, the target is a Shopify app with the following LTM economics:</w:t>
      </w:r>
    </w:p>
    <w:tbl>
      <w:tblPr>
        <w:tblStyle w:val="LightGrid-Accent1"/>
        <w:tblW w:type="auto" w:w="0"/>
        <w:tblLook w:firstColumn="1" w:firstRow="1" w:lastColumn="0" w:lastRow="0" w:noHBand="0" w:noVBand="1" w:val="04A0"/>
      </w:tblPr>
      <w:tblGrid>
        <w:gridCol w:w="3249"/>
        <w:gridCol w:w="3249"/>
        <w:gridCol w:w="3249"/>
      </w:tblGrid>
      <w:tr>
        <w:tc>
          <w:tcPr>
            <w:tcW w:type="dxa" w:w="3888"/>
            <w:shd w:fill="1F3864"/>
          </w:tcPr>
          <w:p>
            <w:r/>
            <w:r>
              <w:rPr>
                <w:rFonts w:ascii="Arial" w:hAnsi="Arial"/>
                <w:b/>
                <w:color w:val="FFFFFF"/>
                <w:sz w:val="18"/>
              </w:rPr>
              <w:t>Metric</w:t>
            </w:r>
          </w:p>
        </w:tc>
        <w:tc>
          <w:tcPr>
            <w:tcW w:type="dxa" w:w="2016"/>
            <w:shd w:fill="1F3864"/>
          </w:tcPr>
          <w:p>
            <w:r/>
            <w:r>
              <w:rPr>
                <w:rFonts w:ascii="Arial" w:hAnsi="Arial"/>
                <w:b/>
                <w:color w:val="FFFFFF"/>
                <w:sz w:val="18"/>
              </w:rPr>
              <w:t>Value</w:t>
            </w:r>
          </w:p>
        </w:tc>
        <w:tc>
          <w:tcPr>
            <w:tcW w:type="dxa" w:w="1440"/>
            <w:shd w:fill="1F3864"/>
          </w:tcPr>
          <w:p>
            <w:r/>
            <w:r>
              <w:rPr>
                <w:rFonts w:ascii="Arial" w:hAnsi="Arial"/>
                <w:b/>
                <w:color w:val="FFFFFF"/>
                <w:sz w:val="18"/>
              </w:rPr>
              <w:t>% of Gross</w:t>
            </w:r>
          </w:p>
        </w:tc>
      </w:tr>
      <w:tr>
        <w:tc>
          <w:tcPr>
            <w:tcW w:type="dxa" w:w="3888"/>
          </w:tcPr>
          <w:p>
            <w:r/>
            <w:r>
              <w:rPr>
                <w:rFonts w:ascii="Arial" w:hAnsi="Arial"/>
                <w:sz w:val="18"/>
              </w:rPr>
              <w:t>Gross Revenue</w:t>
            </w:r>
          </w:p>
        </w:tc>
        <w:tc>
          <w:tcPr>
            <w:tcW w:type="dxa" w:w="2016"/>
          </w:tcPr>
          <w:p>
            <w:r/>
            <w:r>
              <w:rPr>
                <w:rFonts w:ascii="Arial" w:hAnsi="Arial"/>
                <w:sz w:val="18"/>
              </w:rPr>
              <w:t>$983,587</w:t>
            </w:r>
          </w:p>
        </w:tc>
        <w:tc>
          <w:tcPr>
            <w:tcW w:type="dxa" w:w="1440"/>
          </w:tcPr>
          <w:p>
            <w:r/>
            <w:r>
              <w:rPr>
                <w:rFonts w:ascii="Arial" w:hAnsi="Arial"/>
                <w:sz w:val="18"/>
              </w:rPr>
              <w:t>100.0%</w:t>
            </w:r>
          </w:p>
        </w:tc>
      </w:tr>
      <w:tr>
        <w:tc>
          <w:tcPr>
            <w:tcW w:type="dxa" w:w="3888"/>
          </w:tcPr>
          <w:p>
            <w:r/>
            <w:r>
              <w:rPr>
                <w:rFonts w:ascii="Arial" w:hAnsi="Arial"/>
                <w:sz w:val="18"/>
              </w:rPr>
              <w:t>Less: Shopify processing + payment fees</w:t>
            </w:r>
          </w:p>
        </w:tc>
        <w:tc>
          <w:tcPr>
            <w:tcW w:type="dxa" w:w="2016"/>
          </w:tcPr>
          <w:p>
            <w:r/>
            <w:r>
              <w:rPr>
                <w:rFonts w:ascii="Arial" w:hAnsi="Arial"/>
                <w:sz w:val="18"/>
              </w:rPr>
              <w:t>($177,046)</w:t>
            </w:r>
          </w:p>
        </w:tc>
        <w:tc>
          <w:tcPr>
            <w:tcW w:type="dxa" w:w="1440"/>
          </w:tcPr>
          <w:p>
            <w:r/>
            <w:r>
              <w:rPr>
                <w:rFonts w:ascii="Arial" w:hAnsi="Arial"/>
                <w:sz w:val="18"/>
              </w:rPr>
              <w:t>(18.0%)</w:t>
            </w:r>
          </w:p>
        </w:tc>
      </w:tr>
      <w:tr>
        <w:tc>
          <w:tcPr>
            <w:tcW w:type="dxa" w:w="3888"/>
          </w:tcPr>
          <w:p>
            <w:r/>
            <w:r>
              <w:rPr>
                <w:rFonts w:ascii="Arial" w:hAnsi="Arial"/>
                <w:sz w:val="18"/>
              </w:rPr>
              <w:t>Net Revenue</w:t>
            </w:r>
          </w:p>
        </w:tc>
        <w:tc>
          <w:tcPr>
            <w:tcW w:type="dxa" w:w="2016"/>
          </w:tcPr>
          <w:p>
            <w:r/>
            <w:r>
              <w:rPr>
                <w:rFonts w:ascii="Arial" w:hAnsi="Arial"/>
                <w:sz w:val="18"/>
              </w:rPr>
              <w:t>$806,541</w:t>
            </w:r>
          </w:p>
        </w:tc>
        <w:tc>
          <w:tcPr>
            <w:tcW w:type="dxa" w:w="1440"/>
          </w:tcPr>
          <w:p>
            <w:r/>
            <w:r>
              <w:rPr>
                <w:rFonts w:ascii="Arial" w:hAnsi="Arial"/>
                <w:sz w:val="18"/>
              </w:rPr>
              <w:t>82.0%</w:t>
            </w:r>
          </w:p>
        </w:tc>
      </w:tr>
      <w:tr>
        <w:tc>
          <w:tcPr>
            <w:tcW w:type="dxa" w:w="3888"/>
          </w:tcPr>
          <w:p>
            <w:r/>
            <w:r>
              <w:rPr>
                <w:rFonts w:ascii="Arial" w:hAnsi="Arial"/>
                <w:sz w:val="18"/>
              </w:rPr>
              <w:t>Implied opex (Net Rev - FCF)</w:t>
            </w:r>
          </w:p>
        </w:tc>
        <w:tc>
          <w:tcPr>
            <w:tcW w:type="dxa" w:w="2016"/>
          </w:tcPr>
          <w:p>
            <w:r/>
            <w:r>
              <w:rPr>
                <w:rFonts w:ascii="Arial" w:hAnsi="Arial"/>
                <w:sz w:val="18"/>
              </w:rPr>
              <w:t>($126,000)</w:t>
            </w:r>
          </w:p>
        </w:tc>
        <w:tc>
          <w:tcPr>
            <w:tcW w:type="dxa" w:w="1440"/>
          </w:tcPr>
          <w:p>
            <w:r/>
            <w:r>
              <w:rPr>
                <w:rFonts w:ascii="Arial" w:hAnsi="Arial"/>
                <w:sz w:val="18"/>
              </w:rPr>
              <w:t>(12.8%)</w:t>
            </w:r>
          </w:p>
        </w:tc>
      </w:tr>
      <w:tr>
        <w:tc>
          <w:tcPr>
            <w:tcW w:type="dxa" w:w="3888"/>
          </w:tcPr>
          <w:p>
            <w:r/>
            <w:r>
              <w:rPr>
                <w:rFonts w:ascii="Arial" w:hAnsi="Arial"/>
                <w:sz w:val="18"/>
              </w:rPr>
              <w:t>Free Cash Flow (FCF)</w:t>
            </w:r>
          </w:p>
        </w:tc>
        <w:tc>
          <w:tcPr>
            <w:tcW w:type="dxa" w:w="2016"/>
          </w:tcPr>
          <w:p>
            <w:r/>
            <w:r>
              <w:rPr>
                <w:rFonts w:ascii="Arial" w:hAnsi="Arial"/>
                <w:sz w:val="18"/>
              </w:rPr>
              <w:t>$680,541</w:t>
            </w:r>
          </w:p>
        </w:tc>
        <w:tc>
          <w:tcPr>
            <w:tcW w:type="dxa" w:w="1440"/>
          </w:tcPr>
          <w:p>
            <w:r/>
            <w:r>
              <w:rPr>
                <w:rFonts w:ascii="Arial" w:hAnsi="Arial"/>
                <w:sz w:val="18"/>
              </w:rPr>
              <w:t>69.2%</w:t>
            </w:r>
          </w:p>
        </w:tc>
      </w:tr>
      <w:tr>
        <w:tc>
          <w:tcPr>
            <w:tcW w:type="dxa" w:w="3888"/>
          </w:tcPr>
          <w:p>
            <w:r/>
            <w:r>
              <w:rPr>
                <w:rFonts w:ascii="Arial" w:hAnsi="Arial"/>
                <w:sz w:val="18"/>
              </w:rPr>
              <w:t>FCF margin (of Net Revenue)</w:t>
            </w:r>
          </w:p>
        </w:tc>
        <w:tc>
          <w:tcPr>
            <w:tcW w:type="dxa" w:w="2016"/>
          </w:tcPr>
          <w:p>
            <w:r/>
            <w:r>
              <w:rPr>
                <w:rFonts w:ascii="Arial" w:hAnsi="Arial"/>
                <w:sz w:val="18"/>
              </w:rPr>
              <w:t>84.4%</w:t>
            </w:r>
          </w:p>
        </w:tc>
        <w:tc>
          <w:tcPr>
            <w:tcW w:type="dxa" w:w="1440"/>
          </w:tcPr>
          <w:p>
            <w:r/>
            <w:r>
              <w:rPr>
                <w:rFonts w:ascii="Arial" w:hAnsi="Arial"/>
                <w:sz w:val="18"/>
              </w:rPr>
              <w:t>—</w:t>
            </w:r>
          </w:p>
        </w:tc>
      </w:tr>
    </w:tbl>
    <w:p>
      <w:r>
        <w:rPr>
          <w:rFonts w:ascii="Arial" w:hAnsi="Arial"/>
          <w:b/>
          <w:i w:val="0"/>
          <w:color w:val="C00000"/>
          <w:sz w:val="20"/>
        </w:rPr>
        <w:t>RED FLAG: A 69% FCF-of-gross margin on a Shopify app is unusually high. Two issues to address pre-close: (a) Quality of Earnings — verify whether FCF excludes founder comp, key-employee costs, or shared infrastructure; (b) confirm the $177K take-rate already reflects all platform fees — and explicitly excludes the 15% Shopify revenue share.</w:t>
      </w:r>
    </w:p>
    <w:p>
      <w:r>
        <w:br w:type="page"/>
      </w:r>
    </w:p>
    <w:p>
      <w:pPr>
        <w:pStyle w:val="Heading1"/>
      </w:pPr>
      <w:r>
        <w:rPr>
          <w:color w:val="1F3864"/>
        </w:rPr>
        <w:t>3. Risk Analysis — Lender Perspective</w:t>
      </w:r>
    </w:p>
    <w:p>
      <w:pPr>
        <w:pStyle w:val="Heading2"/>
      </w:pPr>
      <w:r>
        <w:t>3.1 The Shopify 15% revenue-share tail risk</w:t>
      </w:r>
    </w:p>
    <w:p>
      <w:r>
        <w:rPr>
          <w:rFonts w:ascii="Arial" w:hAnsi="Arial"/>
          <w:b w:val="0"/>
          <w:i w:val="0"/>
          <w:sz w:val="20"/>
        </w:rPr>
        <w:t>Shopify currently applies a 15% revenue share to apps in the Shopify App Store. As of mid-2024 Shopify revised its fee model: apps with annual revenue under $1M pay 0% to Shopify (a developer-friendly change), while apps above $1M continue to pay 15% on revenue above that threshold. Both Capitaliply's portfolio and the target sit close to or above the $1M ARR boundary.</w:t>
      </w:r>
    </w:p>
    <w:p>
      <w:r>
        <w:rPr>
          <w:rFonts w:ascii="Arial" w:hAnsi="Arial"/>
          <w:b w:val="0"/>
          <w:i w:val="0"/>
          <w:sz w:val="20"/>
        </w:rPr>
        <w:t>If Shopify revises the policy again (or if individual apps cross the $1M threshold without structural mitigation), the annual EBITDA impact is significant:</w:t>
      </w:r>
    </w:p>
    <w:tbl>
      <w:tblPr>
        <w:tblStyle w:val="LightGrid-Accent1"/>
        <w:tblW w:type="auto" w:w="0"/>
        <w:tblLook w:firstColumn="1" w:firstRow="1" w:lastColumn="0" w:lastRow="0" w:noHBand="0" w:noVBand="1" w:val="04A0"/>
      </w:tblPr>
      <w:tblGrid>
        <w:gridCol w:w="2436"/>
        <w:gridCol w:w="2436"/>
        <w:gridCol w:w="2436"/>
        <w:gridCol w:w="2436"/>
      </w:tblGrid>
      <w:tr>
        <w:tc>
          <w:tcPr>
            <w:tcW w:type="dxa" w:w="3456"/>
            <w:shd w:fill="1F3864"/>
          </w:tcPr>
          <w:p>
            <w:r/>
            <w:r>
              <w:rPr>
                <w:rFonts w:ascii="Arial" w:hAnsi="Arial"/>
                <w:b/>
                <w:color w:val="FFFFFF"/>
                <w:sz w:val="18"/>
              </w:rPr>
              <w:t>Exposure</w:t>
            </w:r>
          </w:p>
        </w:tc>
        <w:tc>
          <w:tcPr>
            <w:tcW w:type="dxa" w:w="1872"/>
            <w:shd w:fill="1F3864"/>
          </w:tcPr>
          <w:p>
            <w:r/>
            <w:r>
              <w:rPr>
                <w:rFonts w:ascii="Arial" w:hAnsi="Arial"/>
                <w:b/>
                <w:color w:val="FFFFFF"/>
                <w:sz w:val="18"/>
              </w:rPr>
              <w:t>2026E Gross</w:t>
            </w:r>
          </w:p>
        </w:tc>
        <w:tc>
          <w:tcPr>
            <w:tcW w:type="dxa" w:w="1584"/>
            <w:shd w:fill="1F3864"/>
          </w:tcPr>
          <w:p>
            <w:r/>
            <w:r>
              <w:rPr>
                <w:rFonts w:ascii="Arial" w:hAnsi="Arial"/>
                <w:b/>
                <w:color w:val="FFFFFF"/>
                <w:sz w:val="18"/>
              </w:rPr>
              <w:t>15% hit</w:t>
            </w:r>
          </w:p>
        </w:tc>
        <w:tc>
          <w:tcPr>
            <w:tcW w:type="dxa" w:w="2304"/>
            <w:shd w:fill="1F3864"/>
          </w:tcPr>
          <w:p>
            <w:r/>
            <w:r>
              <w:rPr>
                <w:rFonts w:ascii="Arial" w:hAnsi="Arial"/>
                <w:b/>
                <w:color w:val="FFFFFF"/>
                <w:sz w:val="18"/>
              </w:rPr>
              <w:t>% of combined EBITDA</w:t>
            </w:r>
          </w:p>
        </w:tc>
      </w:tr>
      <w:tr>
        <w:tc>
          <w:tcPr>
            <w:tcW w:type="dxa" w:w="3456"/>
          </w:tcPr>
          <w:p>
            <w:r/>
            <w:r>
              <w:rPr>
                <w:rFonts w:ascii="Arial" w:hAnsi="Arial"/>
                <w:sz w:val="18"/>
              </w:rPr>
              <w:t>Existing Capitaliply portfolio</w:t>
            </w:r>
          </w:p>
        </w:tc>
        <w:tc>
          <w:tcPr>
            <w:tcW w:type="dxa" w:w="1872"/>
          </w:tcPr>
          <w:p>
            <w:r/>
            <w:r>
              <w:rPr>
                <w:rFonts w:ascii="Arial" w:hAnsi="Arial"/>
                <w:sz w:val="18"/>
              </w:rPr>
              <w:t>$1,277,725</w:t>
            </w:r>
          </w:p>
        </w:tc>
        <w:tc>
          <w:tcPr>
            <w:tcW w:type="dxa" w:w="1584"/>
          </w:tcPr>
          <w:p>
            <w:r/>
            <w:r>
              <w:rPr>
                <w:rFonts w:ascii="Arial" w:hAnsi="Arial"/>
                <w:sz w:val="18"/>
              </w:rPr>
              <w:t>$191,659</w:t>
            </w:r>
          </w:p>
        </w:tc>
        <w:tc>
          <w:tcPr>
            <w:tcW w:type="dxa" w:w="2304"/>
          </w:tcPr>
          <w:p>
            <w:r/>
            <w:r>
              <w:rPr>
                <w:rFonts w:ascii="Arial" w:hAnsi="Arial"/>
                <w:sz w:val="18"/>
              </w:rPr>
              <w:t>17.6%</w:t>
            </w:r>
          </w:p>
        </w:tc>
      </w:tr>
      <w:tr>
        <w:tc>
          <w:tcPr>
            <w:tcW w:type="dxa" w:w="3456"/>
          </w:tcPr>
          <w:p>
            <w:r/>
            <w:r>
              <w:rPr>
                <w:rFonts w:ascii="Arial" w:hAnsi="Arial"/>
                <w:sz w:val="18"/>
              </w:rPr>
              <w:t>Target (post-acquisition)</w:t>
            </w:r>
          </w:p>
        </w:tc>
        <w:tc>
          <w:tcPr>
            <w:tcW w:type="dxa" w:w="1872"/>
          </w:tcPr>
          <w:p>
            <w:r/>
            <w:r>
              <w:rPr>
                <w:rFonts w:ascii="Arial" w:hAnsi="Arial"/>
                <w:sz w:val="18"/>
              </w:rPr>
              <w:t>$983,587</w:t>
            </w:r>
          </w:p>
        </w:tc>
        <w:tc>
          <w:tcPr>
            <w:tcW w:type="dxa" w:w="1584"/>
          </w:tcPr>
          <w:p>
            <w:r/>
            <w:r>
              <w:rPr>
                <w:rFonts w:ascii="Arial" w:hAnsi="Arial"/>
                <w:sz w:val="18"/>
              </w:rPr>
              <w:t>$147,538</w:t>
            </w:r>
          </w:p>
        </w:tc>
        <w:tc>
          <w:tcPr>
            <w:tcW w:type="dxa" w:w="2304"/>
          </w:tcPr>
          <w:p>
            <w:r/>
            <w:r>
              <w:rPr>
                <w:rFonts w:ascii="Arial" w:hAnsi="Arial"/>
                <w:sz w:val="18"/>
              </w:rPr>
              <w:t>13.6%</w:t>
            </w:r>
          </w:p>
        </w:tc>
      </w:tr>
      <w:tr>
        <w:tc>
          <w:tcPr>
            <w:tcW w:type="dxa" w:w="3456"/>
          </w:tcPr>
          <w:p>
            <w:r/>
            <w:r>
              <w:rPr>
                <w:rFonts w:ascii="Arial" w:hAnsi="Arial"/>
                <w:sz w:val="18"/>
              </w:rPr>
              <w:t>COMBINED hit</w:t>
            </w:r>
          </w:p>
        </w:tc>
        <w:tc>
          <w:tcPr>
            <w:tcW w:type="dxa" w:w="1872"/>
          </w:tcPr>
          <w:p>
            <w:r/>
            <w:r>
              <w:rPr>
                <w:rFonts w:ascii="Arial" w:hAnsi="Arial"/>
                <w:sz w:val="18"/>
              </w:rPr>
              <w:t>$2,261,312</w:t>
            </w:r>
          </w:p>
        </w:tc>
        <w:tc>
          <w:tcPr>
            <w:tcW w:type="dxa" w:w="1584"/>
          </w:tcPr>
          <w:p>
            <w:r/>
            <w:r>
              <w:rPr>
                <w:rFonts w:ascii="Arial" w:hAnsi="Arial"/>
                <w:sz w:val="18"/>
              </w:rPr>
              <w:t>$339,197</w:t>
            </w:r>
          </w:p>
        </w:tc>
        <w:tc>
          <w:tcPr>
            <w:tcW w:type="dxa" w:w="2304"/>
          </w:tcPr>
          <w:p>
            <w:r/>
            <w:r>
              <w:rPr>
                <w:rFonts w:ascii="Arial" w:hAnsi="Arial"/>
                <w:sz w:val="18"/>
              </w:rPr>
              <w:t>31.2%</w:t>
            </w:r>
          </w:p>
        </w:tc>
      </w:tr>
    </w:tbl>
    <w:p>
      <w:r>
        <w:rPr>
          <w:rFonts w:ascii="Arial" w:hAnsi="Arial"/>
          <w:b/>
          <w:i w:val="0"/>
          <w:sz w:val="20"/>
        </w:rPr>
        <w:t>A $339K/year hit on a $1.09M combined EBITDA base reduces EBITDA to ~$748K. Against $1.10M of annual debt service, this produces a DSCR of 0.68x — a clear default scenario.</w:t>
      </w:r>
    </w:p>
    <w:p/>
    <w:p>
      <w:pPr>
        <w:pStyle w:val="Heading2"/>
      </w:pPr>
      <w:r>
        <w:t>3.2 DSCR scenario analysis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880"/>
            <w:shd w:fill="1F3864"/>
          </w:tcPr>
          <w:p>
            <w:r/>
            <w:r>
              <w:rPr>
                <w:rFonts w:ascii="Arial" w:hAnsi="Arial"/>
                <w:b/>
                <w:color w:val="FFFFFF"/>
                <w:sz w:val="18"/>
              </w:rPr>
              <w:t>Scenario</w:t>
            </w:r>
          </w:p>
        </w:tc>
        <w:tc>
          <w:tcPr>
            <w:tcW w:type="dxa" w:w="1728"/>
            <w:shd w:fill="1F3864"/>
          </w:tcPr>
          <w:p>
            <w:r/>
            <w:r>
              <w:rPr>
                <w:rFonts w:ascii="Arial" w:hAnsi="Arial"/>
                <w:b/>
                <w:color w:val="FFFFFF"/>
                <w:sz w:val="18"/>
              </w:rPr>
              <w:t>Combined EBITDA</w:t>
            </w:r>
          </w:p>
        </w:tc>
        <w:tc>
          <w:tcPr>
            <w:tcW w:type="dxa" w:w="1584"/>
            <w:shd w:fill="1F3864"/>
          </w:tcPr>
          <w:p>
            <w:r/>
            <w:r>
              <w:rPr>
                <w:rFonts w:ascii="Arial" w:hAnsi="Arial"/>
                <w:b/>
                <w:color w:val="FFFFFF"/>
                <w:sz w:val="18"/>
              </w:rPr>
              <w:t>Debt service</w:t>
            </w:r>
          </w:p>
        </w:tc>
        <w:tc>
          <w:tcPr>
            <w:tcW w:type="dxa" w:w="1008"/>
            <w:shd w:fill="1F3864"/>
          </w:tcPr>
          <w:p>
            <w:r/>
            <w:r>
              <w:rPr>
                <w:rFonts w:ascii="Arial" w:hAnsi="Arial"/>
                <w:b/>
                <w:color w:val="FFFFFF"/>
                <w:sz w:val="18"/>
              </w:rPr>
              <w:t>DSCR</w:t>
            </w:r>
          </w:p>
        </w:tc>
        <w:tc>
          <w:tcPr>
            <w:tcW w:type="dxa" w:w="2304"/>
            <w:shd w:fill="1F3864"/>
          </w:tcPr>
          <w:p>
            <w:r/>
            <w:r>
              <w:rPr>
                <w:rFonts w:ascii="Arial" w:hAnsi="Arial"/>
                <w:b/>
                <w:color w:val="FFFFFF"/>
                <w:sz w:val="18"/>
              </w:rPr>
              <w:t>Verdict (vs 1.25x)</w:t>
            </w:r>
          </w:p>
        </w:tc>
      </w:tr>
      <w:tr>
        <w:tc>
          <w:tcPr>
            <w:tcW w:type="dxa" w:w="2880"/>
          </w:tcPr>
          <w:p>
            <w:r/>
            <w:r>
              <w:rPr>
                <w:rFonts w:ascii="Arial" w:hAnsi="Arial"/>
                <w:sz w:val="18"/>
              </w:rPr>
              <w:t>Base</w:t>
            </w:r>
          </w:p>
        </w:tc>
        <w:tc>
          <w:tcPr>
            <w:tcW w:type="dxa" w:w="1728"/>
          </w:tcPr>
          <w:p>
            <w:r/>
            <w:r>
              <w:rPr>
                <w:rFonts w:ascii="Arial" w:hAnsi="Arial"/>
                <w:sz w:val="18"/>
              </w:rPr>
              <w:t>$1,087,363</w:t>
            </w:r>
          </w:p>
        </w:tc>
        <w:tc>
          <w:tcPr>
            <w:tcW w:type="dxa" w:w="1584"/>
          </w:tcPr>
          <w:p>
            <w:r/>
            <w:r>
              <w:rPr>
                <w:rFonts w:ascii="Arial" w:hAnsi="Arial"/>
                <w:sz w:val="18"/>
              </w:rPr>
              <w:t>$1,096,245</w:t>
            </w:r>
          </w:p>
        </w:tc>
        <w:tc>
          <w:tcPr>
            <w:tcW w:type="dxa" w:w="1008"/>
          </w:tcPr>
          <w:p>
            <w:r/>
            <w:r>
              <w:rPr>
                <w:rFonts w:ascii="Arial" w:hAnsi="Arial"/>
                <w:sz w:val="18"/>
              </w:rPr>
              <w:t>0.99x</w:t>
            </w:r>
          </w:p>
        </w:tc>
        <w:tc>
          <w:tcPr>
            <w:tcW w:type="dxa" w:w="2304"/>
          </w:tcPr>
          <w:p>
            <w:r/>
            <w:r>
              <w:rPr>
                <w:rFonts w:ascii="Arial" w:hAnsi="Arial"/>
                <w:sz w:val="18"/>
              </w:rPr>
              <w:t>✗ Marginal — fails covenant</w:t>
            </w:r>
          </w:p>
        </w:tc>
      </w:tr>
      <w:tr>
        <w:tc>
          <w:tcPr>
            <w:tcW w:type="dxa" w:w="2880"/>
          </w:tcPr>
          <w:p>
            <w:r/>
            <w:r>
              <w:rPr>
                <w:rFonts w:ascii="Arial" w:hAnsi="Arial"/>
                <w:sz w:val="18"/>
              </w:rPr>
              <w:t>Stress — Shopify 15%</w:t>
            </w:r>
          </w:p>
        </w:tc>
        <w:tc>
          <w:tcPr>
            <w:tcW w:type="dxa" w:w="1728"/>
          </w:tcPr>
          <w:p>
            <w:r/>
            <w:r>
              <w:rPr>
                <w:rFonts w:ascii="Arial" w:hAnsi="Arial"/>
                <w:sz w:val="18"/>
              </w:rPr>
              <w:t>$748,166</w:t>
            </w:r>
          </w:p>
        </w:tc>
        <w:tc>
          <w:tcPr>
            <w:tcW w:type="dxa" w:w="1584"/>
          </w:tcPr>
          <w:p>
            <w:r/>
            <w:r>
              <w:rPr>
                <w:rFonts w:ascii="Arial" w:hAnsi="Arial"/>
                <w:sz w:val="18"/>
              </w:rPr>
              <w:t>$1,096,245</w:t>
            </w:r>
          </w:p>
        </w:tc>
        <w:tc>
          <w:tcPr>
            <w:tcW w:type="dxa" w:w="1008"/>
          </w:tcPr>
          <w:p>
            <w:r/>
            <w:r>
              <w:rPr>
                <w:rFonts w:ascii="Arial" w:hAnsi="Arial"/>
                <w:sz w:val="18"/>
              </w:rPr>
              <w:t>0.68x</w:t>
            </w:r>
          </w:p>
        </w:tc>
        <w:tc>
          <w:tcPr>
            <w:tcW w:type="dxa" w:w="2304"/>
          </w:tcPr>
          <w:p>
            <w:r/>
            <w:r>
              <w:rPr>
                <w:rFonts w:ascii="Arial" w:hAnsi="Arial"/>
                <w:sz w:val="18"/>
              </w:rPr>
              <w:t>✗ Insufficient coverage</w:t>
            </w:r>
          </w:p>
        </w:tc>
      </w:tr>
      <w:tr>
        <w:tc>
          <w:tcPr>
            <w:tcW w:type="dxa" w:w="2880"/>
          </w:tcPr>
          <w:p>
            <w:r/>
            <w:r>
              <w:rPr>
                <w:rFonts w:ascii="Arial" w:hAnsi="Arial"/>
                <w:sz w:val="18"/>
              </w:rPr>
              <w:t>Severe — Shopify + portfolio -10%</w:t>
            </w:r>
          </w:p>
        </w:tc>
        <w:tc>
          <w:tcPr>
            <w:tcW w:type="dxa" w:w="1728"/>
          </w:tcPr>
          <w:p>
            <w:r/>
            <w:r>
              <w:rPr>
                <w:rFonts w:ascii="Arial" w:hAnsi="Arial"/>
                <w:sz w:val="18"/>
              </w:rPr>
              <w:t>$673,349</w:t>
            </w:r>
          </w:p>
        </w:tc>
        <w:tc>
          <w:tcPr>
            <w:tcW w:type="dxa" w:w="1584"/>
          </w:tcPr>
          <w:p>
            <w:r/>
            <w:r>
              <w:rPr>
                <w:rFonts w:ascii="Arial" w:hAnsi="Arial"/>
                <w:sz w:val="18"/>
              </w:rPr>
              <w:t>$1,096,245</w:t>
            </w:r>
          </w:p>
        </w:tc>
        <w:tc>
          <w:tcPr>
            <w:tcW w:type="dxa" w:w="1008"/>
          </w:tcPr>
          <w:p>
            <w:r/>
            <w:r>
              <w:rPr>
                <w:rFonts w:ascii="Arial" w:hAnsi="Arial"/>
                <w:sz w:val="18"/>
              </w:rPr>
              <w:t>0.61x</w:t>
            </w:r>
          </w:p>
        </w:tc>
        <w:tc>
          <w:tcPr>
            <w:tcW w:type="dxa" w:w="2304"/>
          </w:tcPr>
          <w:p>
            <w:r/>
            <w:r>
              <w:rPr>
                <w:rFonts w:ascii="Arial" w:hAnsi="Arial"/>
                <w:sz w:val="18"/>
              </w:rPr>
              <w:t>✗ Distressed / default</w:t>
            </w:r>
          </w:p>
        </w:tc>
      </w:tr>
    </w:tbl>
    <w:p>
      <w:r>
        <w:rPr>
          <w:rFonts w:ascii="Arial" w:hAnsi="Arial"/>
          <w:b w:val="0"/>
          <w:i w:val="0"/>
          <w:sz w:val="20"/>
        </w:rPr>
        <w:t>All three scenarios fail the standard 1.25x DSCR covenant. The base case (0.99x) means cash flow is exactly equal to debt service with no margin for error. The lender is being asked to provide debt that the combined entity cannot service on a stand-alone basis without flawless operational execution AND no platform-fee disruption.</w:t>
      </w:r>
    </w:p>
    <w:p/>
    <w:p>
      <w:pPr>
        <w:pStyle w:val="Heading2"/>
      </w:pPr>
      <w:r>
        <w:t>3.3 Top risks ranked</w:t>
      </w:r>
    </w:p>
    <w:p>
      <w:r>
        <w:rPr>
          <w:b/>
          <w:color w:val="C00000"/>
          <w:sz w:val="20"/>
        </w:rPr>
        <w:t>R1 — Shopify 15% enforcement</w:t>
      </w:r>
    </w:p>
    <w:p>
      <w:pPr>
        <w:ind w:left="283"/>
      </w:pPr>
      <w:r>
        <w:rPr>
          <w:i/>
          <w:sz w:val="18"/>
        </w:rPr>
        <w:t>Severity: HIGH · Likelihood: MEDIUM-HIGH · Impact: -$339K/yr</w:t>
      </w:r>
    </w:p>
    <w:p>
      <w:pPr>
        <w:ind w:left="283"/>
      </w:pPr>
      <w:r>
        <w:rPr>
          <w:sz w:val="18"/>
        </w:rPr>
        <w:t>Mitigant: (a) Cash sweep covenant if Shopify policy changes; (b) 6-month debt service reserve pre-funded at close; (c) right to step-up rate if Shopify enforces.</w:t>
      </w:r>
    </w:p>
    <w:p>
      <w:r>
        <w:rPr>
          <w:b/>
          <w:color w:val="C00000"/>
          <w:sz w:val="20"/>
        </w:rPr>
        <w:t>R2 — DSCR &lt; 1.25x even in base case</w:t>
      </w:r>
    </w:p>
    <w:p>
      <w:pPr>
        <w:ind w:left="283"/>
      </w:pPr>
      <w:r>
        <w:rPr>
          <w:i/>
          <w:sz w:val="18"/>
        </w:rPr>
        <w:t>Severity: HIGH · Likelihood: CERTAIN at close · Impact: covenant breach risk</w:t>
      </w:r>
    </w:p>
    <w:p>
      <w:pPr>
        <w:ind w:left="283"/>
      </w:pPr>
      <w:r>
        <w:rPr>
          <w:sz w:val="18"/>
        </w:rPr>
        <w:t>Mitigant: (a) Stretch tenor to 10 years (drops annual P+I to ~$344K); (b) interest-only period 24 months; (c) DSCR covenant set at 1.0x rather than 1.25x but with mandatory cash trap if DSCR &lt; 1.1x.</w:t>
      </w:r>
    </w:p>
    <w:p>
      <w:r>
        <w:rPr>
          <w:b/>
          <w:color w:val="C00000"/>
          <w:sz w:val="20"/>
        </w:rPr>
        <w:t>R3 — Organic portfolio decline -5.4%</w:t>
      </w:r>
    </w:p>
    <w:p>
      <w:pPr>
        <w:ind w:left="283"/>
      </w:pPr>
      <w:r>
        <w:rPr>
          <w:i/>
          <w:sz w:val="18"/>
        </w:rPr>
        <w:t>Severity: HIGH · Likelihood: ALREADY HAPPENING · Impact: ARR erosion ~$50K/yr</w:t>
      </w:r>
    </w:p>
    <w:p>
      <w:pPr>
        <w:ind w:left="283"/>
      </w:pPr>
      <w:r>
        <w:rPr>
          <w:sz w:val="18"/>
        </w:rPr>
        <w:t>Mitigant: (a) Minimum portfolio ARR floor covenant; (b) capex/R&amp;D minimum spend covenant; (c) ability to call default if portfolio drops below $1.0M ARR for two consecutive quarters.</w:t>
      </w:r>
    </w:p>
    <w:p>
      <w:r>
        <w:rPr>
          <w:b/>
          <w:color w:val="C00000"/>
          <w:sz w:val="20"/>
        </w:rPr>
        <w:t>R4 — Refinance wall Dec 2026 - May 2027</w:t>
      </w:r>
    </w:p>
    <w:p>
      <w:pPr>
        <w:ind w:left="283"/>
      </w:pPr>
      <w:r>
        <w:rPr>
          <w:i/>
          <w:sz w:val="18"/>
        </w:rPr>
        <w:t>Severity: HIGH · Likelihood: HIGH · Impact: ~$500K of existing debt matures</w:t>
      </w:r>
    </w:p>
    <w:p>
      <w:pPr>
        <w:ind w:left="283"/>
      </w:pPr>
      <w:r>
        <w:rPr>
          <w:sz w:val="18"/>
        </w:rPr>
        <w:t>Mitigant: (a) require pre-close refinance/extension of MageWorx 15% ($100K) and Lychkouski ($200K) loans; (b) standstill agreements with all CPTN-side creditors; (c) intercreditor agreement to subordinate insider debt.</w:t>
      </w:r>
    </w:p>
    <w:p>
      <w:r>
        <w:rPr>
          <w:b/>
          <w:color w:val="C00000"/>
          <w:sz w:val="20"/>
        </w:rPr>
        <w:t>R5 — Single-asset concentration</w:t>
      </w:r>
    </w:p>
    <w:p>
      <w:pPr>
        <w:ind w:left="283"/>
      </w:pPr>
      <w:r>
        <w:rPr>
          <w:i/>
          <w:sz w:val="18"/>
        </w:rPr>
        <w:t>Severity: MEDIUM-HIGH · Likelihood: STRUCTURAL · Impact: MBC + UpCharge = 63% of revenue</w:t>
      </w:r>
    </w:p>
    <w:p>
      <w:pPr>
        <w:ind w:left="283"/>
      </w:pPr>
      <w:r>
        <w:rPr>
          <w:sz w:val="18"/>
        </w:rPr>
        <w:t>Mitigant: (a) all-asset collateralization across portfolio + target; (b) cross-default; (c) app-level revenue reporting monthly.</w:t>
      </w:r>
    </w:p>
    <w:p>
      <w:r>
        <w:rPr>
          <w:b/>
          <w:color w:val="C00000"/>
          <w:sz w:val="20"/>
        </w:rPr>
        <w:t>R6 — Informal / crypto-routed debt</w:t>
      </w:r>
    </w:p>
    <w:p>
      <w:pPr>
        <w:ind w:left="283"/>
      </w:pPr>
      <w:r>
        <w:rPr>
          <w:i/>
          <w:sz w:val="18"/>
        </w:rPr>
        <w:t>Severity: MEDIUM · Likelihood: REGULATORY · Impact: AML, tax exposure</w:t>
      </w:r>
    </w:p>
    <w:p>
      <w:pPr>
        <w:ind w:left="283"/>
      </w:pPr>
      <w:r>
        <w:rPr>
          <w:sz w:val="18"/>
        </w:rPr>
        <w:t>Mitigant: (a) require full debt documentation review by counsel pre-close; (b) representations and warranties from sponsor that all debt is properly documented and tax-compliant; (c) specific indemnity for AML/tax claims related to the Yuri Lavkov (Cash) item.</w:t>
      </w:r>
    </w:p>
    <w:p>
      <w:r>
        <w:rPr>
          <w:b/>
          <w:color w:val="C00000"/>
          <w:sz w:val="20"/>
        </w:rPr>
        <w:t>R7 — Target seller-prepared financials</w:t>
      </w:r>
    </w:p>
    <w:p>
      <w:pPr>
        <w:ind w:left="283"/>
      </w:pPr>
      <w:r>
        <w:rPr>
          <w:i/>
          <w:sz w:val="18"/>
        </w:rPr>
        <w:t>Severity: HIGH · Likelihood: STANDARD · Impact: 5-20% downside to LTM FCF possible</w:t>
      </w:r>
    </w:p>
    <w:p>
      <w:pPr>
        <w:ind w:left="283"/>
      </w:pPr>
      <w:r>
        <w:rPr>
          <w:sz w:val="18"/>
        </w:rPr>
        <w:t>Mitigant: (a) Quality of Earnings (QofE) report from a third-party CPA — non-negotiable; (b) reps &amp; warranties insurance on the target; (c) 10-15% of purchase price in escrow for 12-18 months.</w:t>
      </w:r>
    </w:p>
    <w:p>
      <w:r>
        <w:rPr>
          <w:b/>
          <w:color w:val="C00000"/>
          <w:sz w:val="20"/>
        </w:rPr>
        <w:t>R8 — Holding guarantee value is limited</w:t>
      </w:r>
    </w:p>
    <w:p>
      <w:pPr>
        <w:ind w:left="283"/>
      </w:pPr>
      <w:r>
        <w:rPr>
          <w:i/>
          <w:sz w:val="18"/>
        </w:rPr>
        <w:t>Severity: MEDIUM · Likelihood: ALWAYS · Impact: limited recourse if NewCo defaults</w:t>
      </w:r>
    </w:p>
    <w:p>
      <w:pPr>
        <w:ind w:left="283"/>
      </w:pPr>
      <w:r>
        <w:rPr>
          <w:sz w:val="18"/>
        </w:rPr>
        <w:t>Mitigant: (a) joint and several with all portfolio app-cos; (b) restrict distributions / dividends to shareholders while debt outstanding; (c) cross-collateral on portfolio apps.</w:t>
      </w:r>
    </w:p>
    <w:p>
      <w:r>
        <w:rPr>
          <w:b/>
          <w:color w:val="C00000"/>
          <w:sz w:val="20"/>
        </w:rPr>
        <w:t>R9 — Equity kickers in existing stack</w:t>
      </w:r>
    </w:p>
    <w:p>
      <w:pPr>
        <w:ind w:left="283"/>
      </w:pPr>
      <w:r>
        <w:rPr>
          <w:i/>
          <w:sz w:val="18"/>
        </w:rPr>
        <w:t>Severity: LOW-MEDIUM · Likelihood: at sale event · Impact: 4.5% of UpCharge proceeds pre-pipe</w:t>
      </w:r>
    </w:p>
    <w:p>
      <w:pPr>
        <w:ind w:left="283"/>
      </w:pPr>
      <w:r>
        <w:rPr>
          <w:sz w:val="18"/>
        </w:rPr>
        <w:t>Mitigant: (a) subordinate kicker payments to senior debt; (b) include kicker waterfall in lender's waterfall model.</w:t>
      </w:r>
    </w:p>
    <w:p>
      <w:r>
        <w:rPr>
          <w:b/>
          <w:color w:val="C00000"/>
          <w:sz w:val="20"/>
        </w:rPr>
        <w:t>R10 — Founder geography / political risk</w:t>
      </w:r>
    </w:p>
    <w:p>
      <w:pPr>
        <w:ind w:left="283"/>
      </w:pPr>
      <w:r>
        <w:rPr>
          <w:i/>
          <w:sz w:val="18"/>
        </w:rPr>
        <w:t>Severity: MEDIUM-HIGH · Likelihood: jurisdiction-specific · Impact: banking, sanctions</w:t>
      </w:r>
    </w:p>
    <w:p>
      <w:pPr>
        <w:ind w:left="283"/>
      </w:pPr>
      <w:r>
        <w:rPr>
          <w:sz w:val="18"/>
        </w:rPr>
        <w:t>Mitigant: (a) KYC and sanctions screening on all UBOs; (b) require operations &amp; cash domiciled in clean jurisdiction (NL/Cyprus); (c) sanctions covenant.</w:t>
      </w:r>
    </w:p>
    <w:p>
      <w:r>
        <w:br w:type="page"/>
      </w:r>
    </w:p>
    <w:p>
      <w:pPr>
        <w:pStyle w:val="Heading1"/>
      </w:pPr>
      <w:r>
        <w:rPr>
          <w:color w:val="1F3864"/>
        </w:rPr>
        <w:t>4. Target Valuation — Sanity Check</w:t>
      </w:r>
    </w:p>
    <w:p>
      <w:r>
        <w:rPr>
          <w:rFonts w:ascii="Arial" w:hAnsi="Arial"/>
          <w:b w:val="0"/>
          <w:i w:val="0"/>
          <w:sz w:val="20"/>
        </w:rPr>
        <w:t>We triangulate target value across three methods. The deal price of $2.4M sits at the midpoint of the fair-value range and is reasonable given asset quality, but it leaves no margin for QofE haircuts or operational surprise.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880"/>
            <w:shd w:fill="1F3864"/>
          </w:tcPr>
          <w:p>
            <w:r/>
            <w:r>
              <w:rPr>
                <w:rFonts w:ascii="Arial" w:hAnsi="Arial"/>
                <w:b/>
                <w:color w:val="FFFFFF"/>
                <w:sz w:val="18"/>
              </w:rPr>
              <w:t>Method</w:t>
            </w:r>
          </w:p>
        </w:tc>
        <w:tc>
          <w:tcPr>
            <w:tcW w:type="dxa" w:w="1152"/>
            <w:shd w:fill="1F3864"/>
          </w:tcPr>
          <w:p>
            <w:r/>
            <w:r>
              <w:rPr>
                <w:rFonts w:ascii="Arial" w:hAnsi="Arial"/>
                <w:b/>
                <w:color w:val="FFFFFF"/>
                <w:sz w:val="18"/>
              </w:rPr>
              <w:t>Low</w:t>
            </w:r>
          </w:p>
        </w:tc>
        <w:tc>
          <w:tcPr>
            <w:tcW w:type="dxa" w:w="1152"/>
            <w:shd w:fill="1F3864"/>
          </w:tcPr>
          <w:p>
            <w:r/>
            <w:r>
              <w:rPr>
                <w:rFonts w:ascii="Arial" w:hAnsi="Arial"/>
                <w:b/>
                <w:color w:val="FFFFFF"/>
                <w:sz w:val="18"/>
              </w:rPr>
              <w:t>Mid</w:t>
            </w:r>
          </w:p>
        </w:tc>
        <w:tc>
          <w:tcPr>
            <w:tcW w:type="dxa" w:w="1152"/>
            <w:shd w:fill="1F3864"/>
          </w:tcPr>
          <w:p>
            <w:r/>
            <w:r>
              <w:rPr>
                <w:rFonts w:ascii="Arial" w:hAnsi="Arial"/>
                <w:b/>
                <w:color w:val="FFFFFF"/>
                <w:sz w:val="18"/>
              </w:rPr>
              <w:t>High</w:t>
            </w:r>
          </w:p>
        </w:tc>
        <w:tc>
          <w:tcPr>
            <w:tcW w:type="dxa" w:w="3168"/>
            <w:shd w:fill="1F3864"/>
          </w:tcPr>
          <w:p>
            <w:r/>
            <w:r>
              <w:rPr>
                <w:rFonts w:ascii="Arial" w:hAnsi="Arial"/>
                <w:b/>
                <w:color w:val="FFFFFF"/>
                <w:sz w:val="18"/>
              </w:rPr>
              <w:t>Note</w:t>
            </w:r>
          </w:p>
        </w:tc>
      </w:tr>
      <w:tr>
        <w:tc>
          <w:tcPr>
            <w:tcW w:type="dxa" w:w="2880"/>
          </w:tcPr>
          <w:p>
            <w:r/>
            <w:r>
              <w:rPr>
                <w:rFonts w:ascii="Arial" w:hAnsi="Arial"/>
                <w:sz w:val="18"/>
              </w:rPr>
              <w:t>EV / Net Revenue (2-4x)</w:t>
            </w:r>
          </w:p>
        </w:tc>
        <w:tc>
          <w:tcPr>
            <w:tcW w:type="dxa" w:w="1152"/>
          </w:tcPr>
          <w:p>
            <w:r/>
            <w:r>
              <w:rPr>
                <w:rFonts w:ascii="Arial" w:hAnsi="Arial"/>
                <w:sz w:val="18"/>
              </w:rPr>
              <w:t>$1.61M</w:t>
            </w:r>
          </w:p>
        </w:tc>
        <w:tc>
          <w:tcPr>
            <w:tcW w:type="dxa" w:w="1152"/>
          </w:tcPr>
          <w:p>
            <w:r/>
            <w:r>
              <w:rPr>
                <w:rFonts w:ascii="Arial" w:hAnsi="Arial"/>
                <w:sz w:val="18"/>
              </w:rPr>
              <w:t>$2.42M</w:t>
            </w:r>
          </w:p>
        </w:tc>
        <w:tc>
          <w:tcPr>
            <w:tcW w:type="dxa" w:w="1152"/>
          </w:tcPr>
          <w:p>
            <w:r/>
            <w:r>
              <w:rPr>
                <w:rFonts w:ascii="Arial" w:hAnsi="Arial"/>
                <w:sz w:val="18"/>
              </w:rPr>
              <w:t>$3.23M</w:t>
            </w:r>
          </w:p>
        </w:tc>
        <w:tc>
          <w:tcPr>
            <w:tcW w:type="dxa" w:w="3168"/>
          </w:tcPr>
          <w:p>
            <w:r/>
            <w:r>
              <w:rPr>
                <w:rFonts w:ascii="Arial" w:hAnsi="Arial"/>
                <w:sz w:val="18"/>
              </w:rPr>
              <w:t>Acquire.com / FE International comps</w:t>
            </w:r>
          </w:p>
        </w:tc>
      </w:tr>
      <w:tr>
        <w:tc>
          <w:tcPr>
            <w:tcW w:type="dxa" w:w="2880"/>
          </w:tcPr>
          <w:p>
            <w:r/>
            <w:r>
              <w:rPr>
                <w:rFonts w:ascii="Arial" w:hAnsi="Arial"/>
                <w:sz w:val="18"/>
              </w:rPr>
              <w:t>EV / Gross Revenue (1.5-3x)</w:t>
            </w:r>
          </w:p>
        </w:tc>
        <w:tc>
          <w:tcPr>
            <w:tcW w:type="dxa" w:w="1152"/>
          </w:tcPr>
          <w:p>
            <w:r/>
            <w:r>
              <w:rPr>
                <w:rFonts w:ascii="Arial" w:hAnsi="Arial"/>
                <w:sz w:val="18"/>
              </w:rPr>
              <w:t>$1.48M</w:t>
            </w:r>
          </w:p>
        </w:tc>
        <w:tc>
          <w:tcPr>
            <w:tcW w:type="dxa" w:w="1152"/>
          </w:tcPr>
          <w:p>
            <w:r/>
            <w:r>
              <w:rPr>
                <w:rFonts w:ascii="Arial" w:hAnsi="Arial"/>
                <w:sz w:val="18"/>
              </w:rPr>
              <w:t>$2.21M</w:t>
            </w:r>
          </w:p>
        </w:tc>
        <w:tc>
          <w:tcPr>
            <w:tcW w:type="dxa" w:w="1152"/>
          </w:tcPr>
          <w:p>
            <w:r/>
            <w:r>
              <w:rPr>
                <w:rFonts w:ascii="Arial" w:hAnsi="Arial"/>
                <w:sz w:val="18"/>
              </w:rPr>
              <w:t>$2.95M</w:t>
            </w:r>
          </w:p>
        </w:tc>
        <w:tc>
          <w:tcPr>
            <w:tcW w:type="dxa" w:w="3168"/>
          </w:tcPr>
          <w:p>
            <w:r/>
            <w:r>
              <w:rPr>
                <w:rFonts w:ascii="Arial" w:hAnsi="Arial"/>
                <w:sz w:val="18"/>
              </w:rPr>
              <w:t>Shopify app market range</w:t>
            </w:r>
          </w:p>
        </w:tc>
      </w:tr>
      <w:tr>
        <w:tc>
          <w:tcPr>
            <w:tcW w:type="dxa" w:w="2880"/>
          </w:tcPr>
          <w:p>
            <w:r/>
            <w:r>
              <w:rPr>
                <w:rFonts w:ascii="Arial" w:hAnsi="Arial"/>
                <w:sz w:val="18"/>
              </w:rPr>
              <w:t>EV / FCF (3-5x)</w:t>
            </w:r>
          </w:p>
        </w:tc>
        <w:tc>
          <w:tcPr>
            <w:tcW w:type="dxa" w:w="1152"/>
          </w:tcPr>
          <w:p>
            <w:r/>
            <w:r>
              <w:rPr>
                <w:rFonts w:ascii="Arial" w:hAnsi="Arial"/>
                <w:sz w:val="18"/>
              </w:rPr>
              <w:t>$2.04M</w:t>
            </w:r>
          </w:p>
        </w:tc>
        <w:tc>
          <w:tcPr>
            <w:tcW w:type="dxa" w:w="1152"/>
          </w:tcPr>
          <w:p>
            <w:r/>
            <w:r>
              <w:rPr>
                <w:rFonts w:ascii="Arial" w:hAnsi="Arial"/>
                <w:sz w:val="18"/>
              </w:rPr>
              <w:t>$2.72M</w:t>
            </w:r>
          </w:p>
        </w:tc>
        <w:tc>
          <w:tcPr>
            <w:tcW w:type="dxa" w:w="1152"/>
          </w:tcPr>
          <w:p>
            <w:r/>
            <w:r>
              <w:rPr>
                <w:rFonts w:ascii="Arial" w:hAnsi="Arial"/>
                <w:sz w:val="18"/>
              </w:rPr>
              <w:t>$3.40M</w:t>
            </w:r>
          </w:p>
        </w:tc>
        <w:tc>
          <w:tcPr>
            <w:tcW w:type="dxa" w:w="3168"/>
          </w:tcPr>
          <w:p>
            <w:r/>
            <w:r>
              <w:rPr>
                <w:rFonts w:ascii="Arial" w:hAnsi="Arial"/>
                <w:sz w:val="18"/>
              </w:rPr>
              <w:t>Microacquire / TinySeed data</w:t>
            </w:r>
          </w:p>
        </w:tc>
      </w:tr>
      <w:tr>
        <w:tc>
          <w:tcPr>
            <w:tcW w:type="dxa" w:w="2880"/>
          </w:tcPr>
          <w:p>
            <w:r/>
            <w:r>
              <w:rPr>
                <w:rFonts w:ascii="Arial" w:hAnsi="Arial"/>
                <w:sz w:val="18"/>
              </w:rPr>
              <w:t>DCF (WACC 14%, g 0%, base)</w:t>
            </w:r>
          </w:p>
        </w:tc>
        <w:tc>
          <w:tcPr>
            <w:tcW w:type="dxa" w:w="1152"/>
          </w:tcPr>
          <w:p>
            <w:r/>
            <w:r>
              <w:rPr>
                <w:rFonts w:ascii="Arial" w:hAnsi="Arial"/>
                <w:sz w:val="18"/>
              </w:rPr>
              <w:t>$2.34M</w:t>
            </w:r>
          </w:p>
        </w:tc>
        <w:tc>
          <w:tcPr>
            <w:tcW w:type="dxa" w:w="1152"/>
          </w:tcPr>
          <w:p>
            <w:r/>
            <w:r>
              <w:rPr>
                <w:rFonts w:ascii="Arial" w:hAnsi="Arial"/>
                <w:sz w:val="18"/>
              </w:rPr>
              <w:t>$4.86M</w:t>
            </w:r>
          </w:p>
        </w:tc>
        <w:tc>
          <w:tcPr>
            <w:tcW w:type="dxa" w:w="1152"/>
          </w:tcPr>
          <w:p>
            <w:r/>
            <w:r>
              <w:rPr>
                <w:rFonts w:ascii="Arial" w:hAnsi="Arial"/>
                <w:sz w:val="18"/>
              </w:rPr>
              <w:t>$5.83M</w:t>
            </w:r>
          </w:p>
        </w:tc>
        <w:tc>
          <w:tcPr>
            <w:tcW w:type="dxa" w:w="3168"/>
          </w:tcPr>
          <w:p>
            <w:r/>
            <w:r>
              <w:rPr>
                <w:rFonts w:ascii="Arial" w:hAnsi="Arial"/>
                <w:sz w:val="18"/>
              </w:rPr>
              <w:t>Flat FCF; PV explicit + terminal</w:t>
            </w:r>
          </w:p>
        </w:tc>
      </w:tr>
      <w:tr>
        <w:tc>
          <w:tcPr>
            <w:tcW w:type="dxa" w:w="2880"/>
          </w:tcPr>
          <w:p>
            <w:r/>
            <w:r>
              <w:rPr>
                <w:rFonts w:ascii="Arial" w:hAnsi="Arial"/>
                <w:sz w:val="18"/>
              </w:rPr>
              <w:t>DCF (Shopify 15% stress)</w:t>
            </w:r>
          </w:p>
        </w:tc>
        <w:tc>
          <w:tcPr>
            <w:tcW w:type="dxa" w:w="1152"/>
          </w:tcPr>
          <w:p>
            <w:r/>
            <w:r>
              <w:rPr>
                <w:rFonts w:ascii="Arial" w:hAnsi="Arial"/>
                <w:sz w:val="18"/>
              </w:rPr>
              <w:t>$1.96M</w:t>
            </w:r>
          </w:p>
        </w:tc>
        <w:tc>
          <w:tcPr>
            <w:tcW w:type="dxa" w:w="1152"/>
          </w:tcPr>
          <w:p>
            <w:r/>
            <w:r>
              <w:rPr>
                <w:rFonts w:ascii="Arial" w:hAnsi="Arial"/>
                <w:sz w:val="18"/>
              </w:rPr>
              <w:t>$3.94M</w:t>
            </w:r>
          </w:p>
        </w:tc>
        <w:tc>
          <w:tcPr>
            <w:tcW w:type="dxa" w:w="1152"/>
          </w:tcPr>
          <w:p>
            <w:r/>
            <w:r>
              <w:rPr>
                <w:rFonts w:ascii="Arial" w:hAnsi="Arial"/>
                <w:sz w:val="18"/>
              </w:rPr>
              <w:t>$4.72M</w:t>
            </w:r>
          </w:p>
        </w:tc>
        <w:tc>
          <w:tcPr>
            <w:tcW w:type="dxa" w:w="3168"/>
          </w:tcPr>
          <w:p>
            <w:r/>
            <w:r>
              <w:rPr>
                <w:rFonts w:ascii="Arial" w:hAnsi="Arial"/>
                <w:sz w:val="18"/>
              </w:rPr>
              <w:t>FCF cut 22% from Y2</w:t>
            </w:r>
          </w:p>
        </w:tc>
      </w:tr>
      <w:tr>
        <w:tc>
          <w:tcPr>
            <w:tcW w:type="dxa" w:w="2880"/>
          </w:tcPr>
          <w:p>
            <w:r/>
            <w:r>
              <w:rPr>
                <w:rFonts w:ascii="Arial" w:hAnsi="Arial"/>
                <w:sz w:val="18"/>
              </w:rPr>
              <w:t>FAIR VALUE RANGE</w:t>
            </w:r>
          </w:p>
        </w:tc>
        <w:tc>
          <w:tcPr>
            <w:tcW w:type="dxa" w:w="1152"/>
          </w:tcPr>
          <w:p>
            <w:r/>
            <w:r>
              <w:rPr>
                <w:rFonts w:ascii="Arial" w:hAnsi="Arial"/>
                <w:sz w:val="18"/>
              </w:rPr>
              <w:t>$1.71M</w:t>
            </w:r>
          </w:p>
        </w:tc>
        <w:tc>
          <w:tcPr>
            <w:tcW w:type="dxa" w:w="1152"/>
          </w:tcPr>
          <w:p>
            <w:r/>
            <w:r>
              <w:rPr>
                <w:rFonts w:ascii="Arial" w:hAnsi="Arial"/>
                <w:sz w:val="18"/>
              </w:rPr>
              <w:t>$2.45M</w:t>
            </w:r>
          </w:p>
        </w:tc>
        <w:tc>
          <w:tcPr>
            <w:tcW w:type="dxa" w:w="1152"/>
          </w:tcPr>
          <w:p>
            <w:r/>
            <w:r>
              <w:rPr>
                <w:rFonts w:ascii="Arial" w:hAnsi="Arial"/>
                <w:sz w:val="18"/>
              </w:rPr>
              <w:t>$3.19M</w:t>
            </w:r>
          </w:p>
        </w:tc>
        <w:tc>
          <w:tcPr>
            <w:tcW w:type="dxa" w:w="3168"/>
          </w:tcPr>
          <w:p>
            <w:r/>
            <w:r>
              <w:rPr>
                <w:rFonts w:ascii="Arial" w:hAnsi="Arial"/>
                <w:sz w:val="18"/>
              </w:rPr>
              <w:t>Midpoint of comp methods</w:t>
            </w:r>
          </w:p>
        </w:tc>
      </w:tr>
      <w:tr>
        <w:tc>
          <w:tcPr>
            <w:tcW w:type="dxa" w:w="2880"/>
          </w:tcPr>
          <w:p>
            <w:r/>
            <w:r>
              <w:rPr>
                <w:rFonts w:ascii="Arial" w:hAnsi="Arial"/>
                <w:sz w:val="18"/>
              </w:rPr>
              <w:t>DEAL PRICE</w:t>
            </w:r>
          </w:p>
        </w:tc>
        <w:tc>
          <w:tcPr>
            <w:tcW w:type="dxa" w:w="1152"/>
          </w:tcPr>
          <w:p>
            <w:r/>
            <w:r>
              <w:rPr>
                <w:rFonts w:ascii="Arial" w:hAnsi="Arial"/>
                <w:sz w:val="18"/>
              </w:rPr>
              <w:t>—</w:t>
            </w:r>
          </w:p>
        </w:tc>
        <w:tc>
          <w:tcPr>
            <w:tcW w:type="dxa" w:w="1152"/>
          </w:tcPr>
          <w:p>
            <w:r/>
            <w:r>
              <w:rPr>
                <w:rFonts w:ascii="Arial" w:hAnsi="Arial"/>
                <w:sz w:val="18"/>
              </w:rPr>
              <w:t>$2.40M</w:t>
            </w:r>
          </w:p>
        </w:tc>
        <w:tc>
          <w:tcPr>
            <w:tcW w:type="dxa" w:w="1152"/>
          </w:tcPr>
          <w:p>
            <w:r/>
            <w:r>
              <w:rPr>
                <w:rFonts w:ascii="Arial" w:hAnsi="Arial"/>
                <w:sz w:val="18"/>
              </w:rPr>
              <w:t>—</w:t>
            </w:r>
          </w:p>
        </w:tc>
        <w:tc>
          <w:tcPr>
            <w:tcW w:type="dxa" w:w="3168"/>
          </w:tcPr>
          <w:p>
            <w:r/>
            <w:r>
              <w:rPr>
                <w:rFonts w:ascii="Arial" w:hAnsi="Arial"/>
                <w:sz w:val="18"/>
              </w:rPr>
              <w:t>Per term sheet</w:t>
            </w:r>
          </w:p>
        </w:tc>
      </w:tr>
    </w:tbl>
    <w:p>
      <w:r>
        <w:rPr>
          <w:rFonts w:ascii="Arial" w:hAnsi="Arial"/>
          <w:b w:val="0"/>
          <w:i w:val="0"/>
          <w:sz w:val="20"/>
        </w:rPr>
        <w:t>Implied multiples at the $2.4M deal price: 3.5x FCF and 3.0x Net Revenue. Both sit at the midpoint of comparable Shopify app transactions. Deal is FAIRLY PRICED — not a bargain, not overpaying. The DCF result looks high because the methodology assumes flat FCF perpetually (no Shopify 15%, no organic decline) — a heroic assumption given the existing portfolio is contracting.</w:t>
      </w:r>
    </w:p>
    <w:p/>
    <w:p>
      <w:pPr>
        <w:pStyle w:val="Heading1"/>
      </w:pPr>
      <w:r>
        <w:rPr>
          <w:color w:val="1F3864"/>
        </w:rPr>
        <w:t>5. Equity Investor Economics — $500K Cash-In</w:t>
      </w:r>
    </w:p>
    <w:p>
      <w:r>
        <w:rPr>
          <w:rFonts w:ascii="Arial" w:hAnsi="Arial"/>
          <w:b/>
          <w:i w:val="0"/>
          <w:sz w:val="20"/>
        </w:rPr>
        <w:t>Two structural alternatives for the $500K investor:</w:t>
      </w:r>
    </w:p>
    <w:p>
      <w:pPr>
        <w:pStyle w:val="Heading3"/>
      </w:pPr>
      <w:r>
        <w:t>Scenario A — Investor in NewCo SPV (target only, asset-level)</w:t>
      </w:r>
    </w:p>
    <w:p>
      <w:r>
        <w:rPr>
          <w:rFonts w:ascii="Arial" w:hAnsi="Arial"/>
          <w:b w:val="0"/>
          <w:i w:val="0"/>
          <w:sz w:val="20"/>
        </w:rPr>
        <w:t>NewCo holds the target and is encumbered with the $2M debt. Equity value of NewCo at close = target EV minus debt.</w:t>
      </w:r>
    </w:p>
    <w:tbl>
      <w:tblPr>
        <w:tblStyle w:val="LightGrid-Accent1"/>
        <w:tblW w:type="auto" w:w="0"/>
        <w:tblLook w:firstColumn="1" w:firstRow="1" w:lastColumn="0" w:lastRow="0" w:noHBand="0" w:noVBand="1" w:val="04A0"/>
      </w:tblPr>
      <w:tblGrid>
        <w:gridCol w:w="4873"/>
        <w:gridCol w:w="4873"/>
      </w:tblGrid>
      <w:tr>
        <w:tc>
          <w:tcPr>
            <w:tcW w:type="dxa" w:w="5040"/>
            <w:shd w:fill="1F3864"/>
          </w:tcPr>
          <w:p>
            <w:r/>
            <w:r>
              <w:rPr>
                <w:rFonts w:ascii="Arial" w:hAnsi="Arial"/>
                <w:b/>
                <w:color w:val="FFFFFF"/>
                <w:sz w:val="18"/>
              </w:rPr>
              <w:t>Item</w:t>
            </w:r>
          </w:p>
        </w:tc>
        <w:tc>
          <w:tcPr>
            <w:tcW w:type="dxa" w:w="2304"/>
            <w:shd w:fill="1F3864"/>
          </w:tcPr>
          <w:p>
            <w:r/>
            <w:r>
              <w:rPr>
                <w:rFonts w:ascii="Arial" w:hAnsi="Arial"/>
                <w:b/>
                <w:color w:val="FFFFFF"/>
                <w:sz w:val="18"/>
              </w:rPr>
              <w:t>Value</w:t>
            </w:r>
          </w:p>
        </w:tc>
      </w:tr>
      <w:tr>
        <w:tc>
          <w:tcPr>
            <w:tcW w:type="dxa" w:w="5040"/>
          </w:tcPr>
          <w:p>
            <w:r/>
            <w:r>
              <w:rPr>
                <w:rFonts w:ascii="Arial" w:hAnsi="Arial"/>
                <w:sz w:val="18"/>
              </w:rPr>
              <w:t>Target Enterprise Value (fair, midpoint)</w:t>
            </w:r>
          </w:p>
        </w:tc>
        <w:tc>
          <w:tcPr>
            <w:tcW w:type="dxa" w:w="2304"/>
          </w:tcPr>
          <w:p>
            <w:r/>
            <w:r>
              <w:rPr>
                <w:rFonts w:ascii="Arial" w:hAnsi="Arial"/>
                <w:sz w:val="18"/>
              </w:rPr>
              <w:t>$2,452,000</w:t>
            </w:r>
          </w:p>
        </w:tc>
      </w:tr>
      <w:tr>
        <w:tc>
          <w:tcPr>
            <w:tcW w:type="dxa" w:w="5040"/>
          </w:tcPr>
          <w:p>
            <w:r/>
            <w:r>
              <w:rPr>
                <w:rFonts w:ascii="Arial" w:hAnsi="Arial"/>
                <w:sz w:val="18"/>
              </w:rPr>
              <w:t>Less: New debt at closing</w:t>
            </w:r>
          </w:p>
        </w:tc>
        <w:tc>
          <w:tcPr>
            <w:tcW w:type="dxa" w:w="2304"/>
          </w:tcPr>
          <w:p>
            <w:r/>
            <w:r>
              <w:rPr>
                <w:rFonts w:ascii="Arial" w:hAnsi="Arial"/>
                <w:sz w:val="18"/>
              </w:rPr>
              <w:t>($2,000,000)</w:t>
            </w:r>
          </w:p>
        </w:tc>
      </w:tr>
      <w:tr>
        <w:tc>
          <w:tcPr>
            <w:tcW w:type="dxa" w:w="5040"/>
          </w:tcPr>
          <w:p>
            <w:r/>
            <w:r>
              <w:rPr>
                <w:rFonts w:ascii="Arial" w:hAnsi="Arial"/>
                <w:sz w:val="18"/>
              </w:rPr>
              <w:t>NewCo equity value pre-money</w:t>
            </w:r>
          </w:p>
        </w:tc>
        <w:tc>
          <w:tcPr>
            <w:tcW w:type="dxa" w:w="2304"/>
          </w:tcPr>
          <w:p>
            <w:r/>
            <w:r>
              <w:rPr>
                <w:rFonts w:ascii="Arial" w:hAnsi="Arial"/>
                <w:sz w:val="18"/>
              </w:rPr>
              <w:t>$452,000</w:t>
            </w:r>
          </w:p>
        </w:tc>
      </w:tr>
      <w:tr>
        <w:tc>
          <w:tcPr>
            <w:tcW w:type="dxa" w:w="5040"/>
          </w:tcPr>
          <w:p>
            <w:r/>
            <w:r>
              <w:rPr>
                <w:rFonts w:ascii="Arial" w:hAnsi="Arial"/>
                <w:sz w:val="18"/>
              </w:rPr>
              <w:t>Plus: Investor cash-in</w:t>
            </w:r>
          </w:p>
        </w:tc>
        <w:tc>
          <w:tcPr>
            <w:tcW w:type="dxa" w:w="2304"/>
          </w:tcPr>
          <w:p>
            <w:r/>
            <w:r>
              <w:rPr>
                <w:rFonts w:ascii="Arial" w:hAnsi="Arial"/>
                <w:sz w:val="18"/>
              </w:rPr>
              <w:t>$500,000</w:t>
            </w:r>
          </w:p>
        </w:tc>
      </w:tr>
      <w:tr>
        <w:tc>
          <w:tcPr>
            <w:tcW w:type="dxa" w:w="5040"/>
          </w:tcPr>
          <w:p>
            <w:r/>
            <w:r>
              <w:rPr>
                <w:rFonts w:ascii="Arial" w:hAnsi="Arial"/>
                <w:sz w:val="18"/>
              </w:rPr>
              <w:t>NewCo equity post-money</w:t>
            </w:r>
          </w:p>
        </w:tc>
        <w:tc>
          <w:tcPr>
            <w:tcW w:type="dxa" w:w="2304"/>
          </w:tcPr>
          <w:p>
            <w:r/>
            <w:r>
              <w:rPr>
                <w:rFonts w:ascii="Arial" w:hAnsi="Arial"/>
                <w:sz w:val="18"/>
              </w:rPr>
              <w:t>$952,000</w:t>
            </w:r>
          </w:p>
        </w:tc>
      </w:tr>
      <w:tr>
        <w:tc>
          <w:tcPr>
            <w:tcW w:type="dxa" w:w="5040"/>
          </w:tcPr>
          <w:p>
            <w:r/>
            <w:r>
              <w:rPr>
                <w:rFonts w:ascii="Arial" w:hAnsi="Arial"/>
                <w:sz w:val="18"/>
              </w:rPr>
              <w:t>INVESTOR STAKE — SCENARIO A</w:t>
            </w:r>
          </w:p>
        </w:tc>
        <w:tc>
          <w:tcPr>
            <w:tcW w:type="dxa" w:w="2304"/>
          </w:tcPr>
          <w:p>
            <w:r/>
            <w:r>
              <w:rPr>
                <w:rFonts w:ascii="Arial" w:hAnsi="Arial"/>
                <w:sz w:val="18"/>
              </w:rPr>
              <w:t>52.5%</w:t>
            </w:r>
          </w:p>
        </w:tc>
      </w:tr>
    </w:tbl>
    <w:p>
      <w:r>
        <w:rPr>
          <w:rFonts w:ascii="Arial" w:hAnsi="Arial"/>
          <w:b w:val="0"/>
          <w:i w:val="0"/>
          <w:sz w:val="20"/>
        </w:rPr>
        <w:t>Issue with Scenario A: investor ends up with majority of NewCo because new debt eats most of the enterprise value. This makes sense from a 'who is taking what risk' standpoint (equity investor is in first-loss position behind $2M of senior debt), but it gives the investor control over an asset that the sponsor sourced and is managing.</w:t>
      </w:r>
    </w:p>
    <w:p>
      <w:pPr>
        <w:pStyle w:val="Heading3"/>
      </w:pPr>
      <w:r>
        <w:t>Scenario B — Investor in Capitaliply Holding (consolidated)</w:t>
      </w:r>
    </w:p>
    <w:p>
      <w:r>
        <w:rPr>
          <w:rFonts w:ascii="Arial" w:hAnsi="Arial"/>
          <w:b w:val="0"/>
          <w:i w:val="0"/>
          <w:sz w:val="20"/>
        </w:rPr>
        <w:t>Investor buys equity in the parent holding company, which consolidates all portfolio apps and the new target.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440"/>
            <w:shd w:fill="1F3864"/>
          </w:tcPr>
          <w:p>
            <w:r/>
            <w:r>
              <w:rPr>
                <w:rFonts w:ascii="Arial" w:hAnsi="Arial"/>
                <w:b/>
                <w:color w:val="FFFFFF"/>
                <w:sz w:val="18"/>
              </w:rPr>
              <w:t>EV multiple</w:t>
            </w:r>
          </w:p>
        </w:tc>
        <w:tc>
          <w:tcPr>
            <w:tcW w:type="dxa" w:w="1440"/>
            <w:shd w:fill="1F3864"/>
          </w:tcPr>
          <w:p>
            <w:r/>
            <w:r>
              <w:rPr>
                <w:rFonts w:ascii="Arial" w:hAnsi="Arial"/>
                <w:b/>
                <w:color w:val="FFFFFF"/>
                <w:sz w:val="18"/>
              </w:rPr>
              <w:t>Holding EV</w:t>
            </w:r>
          </w:p>
        </w:tc>
        <w:tc>
          <w:tcPr>
            <w:tcW w:type="dxa" w:w="1440"/>
            <w:shd w:fill="1F3864"/>
          </w:tcPr>
          <w:p>
            <w:r/>
            <w:r>
              <w:rPr>
                <w:rFonts w:ascii="Arial" w:hAnsi="Arial"/>
                <w:b/>
                <w:color w:val="FFFFFF"/>
                <w:sz w:val="18"/>
              </w:rPr>
              <w:t>Less: total debt</w:t>
            </w:r>
          </w:p>
        </w:tc>
        <w:tc>
          <w:tcPr>
            <w:tcW w:type="dxa" w:w="1440"/>
            <w:shd w:fill="1F3864"/>
          </w:tcPr>
          <w:p>
            <w:r/>
            <w:r>
              <w:rPr>
                <w:rFonts w:ascii="Arial" w:hAnsi="Arial"/>
                <w:b/>
                <w:color w:val="FFFFFF"/>
                <w:sz w:val="18"/>
              </w:rPr>
              <w:t>Equity pre</w:t>
            </w:r>
          </w:p>
        </w:tc>
        <w:tc>
          <w:tcPr>
            <w:tcW w:type="dxa" w:w="2016"/>
            <w:shd w:fill="1F3864"/>
          </w:tcPr>
          <w:p>
            <w:r/>
            <w:r>
              <w:rPr>
                <w:rFonts w:ascii="Arial" w:hAnsi="Arial"/>
                <w:b/>
                <w:color w:val="FFFFFF"/>
                <w:sz w:val="18"/>
              </w:rPr>
              <w:t>Equity post (+$500K)</w:t>
            </w:r>
          </w:p>
        </w:tc>
        <w:tc>
          <w:tcPr>
            <w:tcW w:type="dxa" w:w="1008"/>
            <w:shd w:fill="1F3864"/>
          </w:tcPr>
          <w:p>
            <w:r/>
            <w:r>
              <w:rPr>
                <w:rFonts w:ascii="Arial" w:hAnsi="Arial"/>
                <w:b/>
                <w:color w:val="FFFFFF"/>
                <w:sz w:val="18"/>
              </w:rPr>
              <w:t>Stake</w:t>
            </w:r>
          </w:p>
        </w:tc>
      </w:tr>
      <w:tr>
        <w:tc>
          <w:tcPr>
            <w:tcW w:type="dxa" w:w="1440"/>
          </w:tcPr>
          <w:p>
            <w:r/>
            <w:r>
              <w:rPr>
                <w:rFonts w:ascii="Arial" w:hAnsi="Arial"/>
                <w:sz w:val="18"/>
              </w:rPr>
              <w:t>4x EBITDA</w:t>
            </w:r>
          </w:p>
        </w:tc>
        <w:tc>
          <w:tcPr>
            <w:tcW w:type="dxa" w:w="1440"/>
          </w:tcPr>
          <w:p>
            <w:r/>
            <w:r>
              <w:rPr>
                <w:rFonts w:ascii="Arial" w:hAnsi="Arial"/>
                <w:sz w:val="18"/>
              </w:rPr>
              <w:t>$4.35M</w:t>
            </w:r>
          </w:p>
        </w:tc>
        <w:tc>
          <w:tcPr>
            <w:tcW w:type="dxa" w:w="1440"/>
          </w:tcPr>
          <w:p>
            <w:r/>
            <w:r>
              <w:rPr>
                <w:rFonts w:ascii="Arial" w:hAnsi="Arial"/>
                <w:sz w:val="18"/>
              </w:rPr>
              <w:t>($3.13M)</w:t>
            </w:r>
          </w:p>
        </w:tc>
        <w:tc>
          <w:tcPr>
            <w:tcW w:type="dxa" w:w="1440"/>
          </w:tcPr>
          <w:p>
            <w:r/>
            <w:r>
              <w:rPr>
                <w:rFonts w:ascii="Arial" w:hAnsi="Arial"/>
                <w:sz w:val="18"/>
              </w:rPr>
              <w:t>$1.22M</w:t>
            </w:r>
          </w:p>
        </w:tc>
        <w:tc>
          <w:tcPr>
            <w:tcW w:type="dxa" w:w="2016"/>
          </w:tcPr>
          <w:p>
            <w:r/>
            <w:r>
              <w:rPr>
                <w:rFonts w:ascii="Arial" w:hAnsi="Arial"/>
                <w:sz w:val="18"/>
              </w:rPr>
              <w:t>$1.72M</w:t>
            </w:r>
          </w:p>
        </w:tc>
        <w:tc>
          <w:tcPr>
            <w:tcW w:type="dxa" w:w="1008"/>
          </w:tcPr>
          <w:p>
            <w:r/>
            <w:r>
              <w:rPr>
                <w:rFonts w:ascii="Arial" w:hAnsi="Arial"/>
                <w:sz w:val="18"/>
              </w:rPr>
              <w:t>29.1%</w:t>
            </w:r>
          </w:p>
        </w:tc>
      </w:tr>
      <w:tr>
        <w:tc>
          <w:tcPr>
            <w:tcW w:type="dxa" w:w="1440"/>
          </w:tcPr>
          <w:p>
            <w:r/>
            <w:r>
              <w:rPr>
                <w:rFonts w:ascii="Arial" w:hAnsi="Arial"/>
                <w:sz w:val="18"/>
              </w:rPr>
              <w:t>5x EBITDA</w:t>
            </w:r>
          </w:p>
        </w:tc>
        <w:tc>
          <w:tcPr>
            <w:tcW w:type="dxa" w:w="1440"/>
          </w:tcPr>
          <w:p>
            <w:r/>
            <w:r>
              <w:rPr>
                <w:rFonts w:ascii="Arial" w:hAnsi="Arial"/>
                <w:sz w:val="18"/>
              </w:rPr>
              <w:t>$5.44M</w:t>
            </w:r>
          </w:p>
        </w:tc>
        <w:tc>
          <w:tcPr>
            <w:tcW w:type="dxa" w:w="1440"/>
          </w:tcPr>
          <w:p>
            <w:r/>
            <w:r>
              <w:rPr>
                <w:rFonts w:ascii="Arial" w:hAnsi="Arial"/>
                <w:sz w:val="18"/>
              </w:rPr>
              <w:t>($3.13M)</w:t>
            </w:r>
          </w:p>
        </w:tc>
        <w:tc>
          <w:tcPr>
            <w:tcW w:type="dxa" w:w="1440"/>
          </w:tcPr>
          <w:p>
            <w:r/>
            <w:r>
              <w:rPr>
                <w:rFonts w:ascii="Arial" w:hAnsi="Arial"/>
                <w:sz w:val="18"/>
              </w:rPr>
              <w:t>$2.30M</w:t>
            </w:r>
          </w:p>
        </w:tc>
        <w:tc>
          <w:tcPr>
            <w:tcW w:type="dxa" w:w="2016"/>
          </w:tcPr>
          <w:p>
            <w:r/>
            <w:r>
              <w:rPr>
                <w:rFonts w:ascii="Arial" w:hAnsi="Arial"/>
                <w:sz w:val="18"/>
              </w:rPr>
              <w:t>$2.80M</w:t>
            </w:r>
          </w:p>
        </w:tc>
        <w:tc>
          <w:tcPr>
            <w:tcW w:type="dxa" w:w="1008"/>
          </w:tcPr>
          <w:p>
            <w:r/>
            <w:r>
              <w:rPr>
                <w:rFonts w:ascii="Arial" w:hAnsi="Arial"/>
                <w:sz w:val="18"/>
              </w:rPr>
              <w:t>17.8%</w:t>
            </w:r>
          </w:p>
        </w:tc>
      </w:tr>
      <w:tr>
        <w:tc>
          <w:tcPr>
            <w:tcW w:type="dxa" w:w="1440"/>
          </w:tcPr>
          <w:p>
            <w:r/>
            <w:r>
              <w:rPr>
                <w:rFonts w:ascii="Arial" w:hAnsi="Arial"/>
                <w:sz w:val="18"/>
              </w:rPr>
              <w:t>6x EBITDA</w:t>
            </w:r>
          </w:p>
        </w:tc>
        <w:tc>
          <w:tcPr>
            <w:tcW w:type="dxa" w:w="1440"/>
          </w:tcPr>
          <w:p>
            <w:r/>
            <w:r>
              <w:rPr>
                <w:rFonts w:ascii="Arial" w:hAnsi="Arial"/>
                <w:sz w:val="18"/>
              </w:rPr>
              <w:t>$6.52M</w:t>
            </w:r>
          </w:p>
        </w:tc>
        <w:tc>
          <w:tcPr>
            <w:tcW w:type="dxa" w:w="1440"/>
          </w:tcPr>
          <w:p>
            <w:r/>
            <w:r>
              <w:rPr>
                <w:rFonts w:ascii="Arial" w:hAnsi="Arial"/>
                <w:sz w:val="18"/>
              </w:rPr>
              <w:t>($3.13M)</w:t>
            </w:r>
          </w:p>
        </w:tc>
        <w:tc>
          <w:tcPr>
            <w:tcW w:type="dxa" w:w="1440"/>
          </w:tcPr>
          <w:p>
            <w:r/>
            <w:r>
              <w:rPr>
                <w:rFonts w:ascii="Arial" w:hAnsi="Arial"/>
                <w:sz w:val="18"/>
              </w:rPr>
              <w:t>$3.39M</w:t>
            </w:r>
          </w:p>
        </w:tc>
        <w:tc>
          <w:tcPr>
            <w:tcW w:type="dxa" w:w="2016"/>
          </w:tcPr>
          <w:p>
            <w:r/>
            <w:r>
              <w:rPr>
                <w:rFonts w:ascii="Arial" w:hAnsi="Arial"/>
                <w:sz w:val="18"/>
              </w:rPr>
              <w:t>$3.89M</w:t>
            </w:r>
          </w:p>
        </w:tc>
        <w:tc>
          <w:tcPr>
            <w:tcW w:type="dxa" w:w="1008"/>
          </w:tcPr>
          <w:p>
            <w:r/>
            <w:r>
              <w:rPr>
                <w:rFonts w:ascii="Arial" w:hAnsi="Arial"/>
                <w:sz w:val="18"/>
              </w:rPr>
              <w:t>12.8%</w:t>
            </w:r>
          </w:p>
        </w:tc>
      </w:tr>
    </w:tbl>
    <w:p>
      <w:r>
        <w:rPr>
          <w:rFonts w:ascii="Arial" w:hAnsi="Arial"/>
          <w:b w:val="0"/>
          <w:i w:val="0"/>
          <w:sz w:val="20"/>
        </w:rPr>
        <w:t>Scenario B is more typical for an outside equity investor — buys diluted stake in the parent. Recommended range: 18-25% stake at 5x EBITDA. This compensates the investor fairly for the underlying business cash flow while keeping sponsor control intact.</w:t>
      </w:r>
    </w:p>
    <w:p>
      <w:pPr>
        <w:pStyle w:val="Heading3"/>
      </w:pPr>
      <w:r>
        <w:t>Our recommendation on investor stake</w:t>
      </w:r>
    </w:p>
    <w:p>
      <w:r>
        <w:rPr>
          <w:rFonts w:ascii="Arial" w:hAnsi="Arial"/>
          <w:b/>
          <w:i w:val="0"/>
          <w:sz w:val="20"/>
        </w:rPr>
        <w:t>We recommend Scenario B with the following terms:</w:t>
      </w:r>
    </w:p>
    <w:tbl>
      <w:tblPr>
        <w:tblStyle w:val="LightGrid-Accent1"/>
        <w:tblW w:type="auto" w:w="0"/>
        <w:tblLook w:firstColumn="1" w:firstRow="1" w:lastColumn="0" w:lastRow="0" w:noHBand="0" w:noVBand="1" w:val="04A0"/>
      </w:tblPr>
      <w:tblGrid>
        <w:gridCol w:w="4873"/>
        <w:gridCol w:w="4873"/>
      </w:tblGrid>
      <w:tr>
        <w:tc>
          <w:tcPr>
            <w:tcW w:type="dxa" w:w="2592"/>
            <w:shd w:fill="1F3864"/>
          </w:tcPr>
          <w:p>
            <w:r/>
            <w:r>
              <w:rPr>
                <w:rFonts w:ascii="Arial" w:hAnsi="Arial"/>
                <w:b/>
                <w:color w:val="FFFFFF"/>
                <w:sz w:val="18"/>
              </w:rPr>
              <w:t>Term</w:t>
            </w:r>
          </w:p>
        </w:tc>
        <w:tc>
          <w:tcPr>
            <w:tcW w:type="dxa" w:w="5760"/>
            <w:shd w:fill="1F3864"/>
          </w:tcPr>
          <w:p>
            <w:r/>
            <w:r>
              <w:rPr>
                <w:rFonts w:ascii="Arial" w:hAnsi="Arial"/>
                <w:b/>
                <w:color w:val="FFFFFF"/>
                <w:sz w:val="18"/>
              </w:rPr>
              <w:t>Recommended</w:t>
            </w:r>
          </w:p>
        </w:tc>
      </w:tr>
      <w:tr>
        <w:tc>
          <w:tcPr>
            <w:tcW w:type="dxa" w:w="2592"/>
          </w:tcPr>
          <w:p>
            <w:r/>
            <w:r>
              <w:rPr>
                <w:rFonts w:ascii="Arial" w:hAnsi="Arial"/>
                <w:sz w:val="18"/>
              </w:rPr>
              <w:t>Structure</w:t>
            </w:r>
          </w:p>
        </w:tc>
        <w:tc>
          <w:tcPr>
            <w:tcW w:type="dxa" w:w="5760"/>
          </w:tcPr>
          <w:p>
            <w:r/>
            <w:r>
              <w:rPr>
                <w:rFonts w:ascii="Arial" w:hAnsi="Arial"/>
                <w:sz w:val="18"/>
              </w:rPr>
              <w:t>Preferred equity in Capitaliply Group (holding)</w:t>
            </w:r>
          </w:p>
        </w:tc>
      </w:tr>
      <w:tr>
        <w:tc>
          <w:tcPr>
            <w:tcW w:type="dxa" w:w="2592"/>
          </w:tcPr>
          <w:p>
            <w:r/>
            <w:r>
              <w:rPr>
                <w:rFonts w:ascii="Arial" w:hAnsi="Arial"/>
                <w:sz w:val="18"/>
              </w:rPr>
              <w:t>Stake</w:t>
            </w:r>
          </w:p>
        </w:tc>
        <w:tc>
          <w:tcPr>
            <w:tcW w:type="dxa" w:w="5760"/>
          </w:tcPr>
          <w:p>
            <w:r/>
            <w:r>
              <w:rPr>
                <w:rFonts w:ascii="Arial" w:hAnsi="Arial"/>
                <w:sz w:val="18"/>
              </w:rPr>
              <w:t>20-25% on a $2.0-2.5M pre-money valuation</w:t>
            </w:r>
          </w:p>
        </w:tc>
      </w:tr>
      <w:tr>
        <w:tc>
          <w:tcPr>
            <w:tcW w:type="dxa" w:w="2592"/>
          </w:tcPr>
          <w:p>
            <w:r/>
            <w:r>
              <w:rPr>
                <w:rFonts w:ascii="Arial" w:hAnsi="Arial"/>
                <w:sz w:val="18"/>
              </w:rPr>
              <w:t>Liquidation preference</w:t>
            </w:r>
          </w:p>
        </w:tc>
        <w:tc>
          <w:tcPr>
            <w:tcW w:type="dxa" w:w="5760"/>
          </w:tcPr>
          <w:p>
            <w:r/>
            <w:r>
              <w:rPr>
                <w:rFonts w:ascii="Arial" w:hAnsi="Arial"/>
                <w:sz w:val="18"/>
              </w:rPr>
              <w:t>1x non-participating, then convert</w:t>
            </w:r>
          </w:p>
        </w:tc>
      </w:tr>
      <w:tr>
        <w:tc>
          <w:tcPr>
            <w:tcW w:type="dxa" w:w="2592"/>
          </w:tcPr>
          <w:p>
            <w:r/>
            <w:r>
              <w:rPr>
                <w:rFonts w:ascii="Arial" w:hAnsi="Arial"/>
                <w:sz w:val="18"/>
              </w:rPr>
              <w:t>Anti-dilution</w:t>
            </w:r>
          </w:p>
        </w:tc>
        <w:tc>
          <w:tcPr>
            <w:tcW w:type="dxa" w:w="5760"/>
          </w:tcPr>
          <w:p>
            <w:r/>
            <w:r>
              <w:rPr>
                <w:rFonts w:ascii="Arial" w:hAnsi="Arial"/>
                <w:sz w:val="18"/>
              </w:rPr>
              <w:t>Broad-based weighted average</w:t>
            </w:r>
          </w:p>
        </w:tc>
      </w:tr>
      <w:tr>
        <w:tc>
          <w:tcPr>
            <w:tcW w:type="dxa" w:w="2592"/>
          </w:tcPr>
          <w:p>
            <w:r/>
            <w:r>
              <w:rPr>
                <w:rFonts w:ascii="Arial" w:hAnsi="Arial"/>
                <w:sz w:val="18"/>
              </w:rPr>
              <w:t>Board / info rights</w:t>
            </w:r>
          </w:p>
        </w:tc>
        <w:tc>
          <w:tcPr>
            <w:tcW w:type="dxa" w:w="5760"/>
          </w:tcPr>
          <w:p>
            <w:r/>
            <w:r>
              <w:rPr>
                <w:rFonts w:ascii="Arial" w:hAnsi="Arial"/>
                <w:sz w:val="18"/>
              </w:rPr>
              <w:t>1 board observer + monthly KPI pack + quarterly investor update</w:t>
            </w:r>
          </w:p>
        </w:tc>
      </w:tr>
      <w:tr>
        <w:tc>
          <w:tcPr>
            <w:tcW w:type="dxa" w:w="2592"/>
          </w:tcPr>
          <w:p>
            <w:r/>
            <w:r>
              <w:rPr>
                <w:rFonts w:ascii="Arial" w:hAnsi="Arial"/>
                <w:sz w:val="18"/>
              </w:rPr>
              <w:t>Reserved matters / consent</w:t>
            </w:r>
          </w:p>
        </w:tc>
        <w:tc>
          <w:tcPr>
            <w:tcW w:type="dxa" w:w="5760"/>
          </w:tcPr>
          <w:p>
            <w:r/>
            <w:r>
              <w:rPr>
                <w:rFonts w:ascii="Arial" w:hAnsi="Arial"/>
                <w:sz w:val="18"/>
              </w:rPr>
              <w:t>New debt &gt; $200K, M&amp;A &gt; $250K, founder comp &gt; base salary</w:t>
            </w:r>
          </w:p>
        </w:tc>
      </w:tr>
      <w:tr>
        <w:tc>
          <w:tcPr>
            <w:tcW w:type="dxa" w:w="2592"/>
          </w:tcPr>
          <w:p>
            <w:r/>
            <w:r>
              <w:rPr>
                <w:rFonts w:ascii="Arial" w:hAnsi="Arial"/>
                <w:sz w:val="18"/>
              </w:rPr>
              <w:t>Drag / tag</w:t>
            </w:r>
          </w:p>
        </w:tc>
        <w:tc>
          <w:tcPr>
            <w:tcW w:type="dxa" w:w="5760"/>
          </w:tcPr>
          <w:p>
            <w:r/>
            <w:r>
              <w:rPr>
                <w:rFonts w:ascii="Arial" w:hAnsi="Arial"/>
                <w:sz w:val="18"/>
              </w:rPr>
              <w:t>Standard drag at 75% threshold; tag-along on any sale</w:t>
            </w:r>
          </w:p>
        </w:tc>
      </w:tr>
      <w:tr>
        <w:tc>
          <w:tcPr>
            <w:tcW w:type="dxa" w:w="2592"/>
          </w:tcPr>
          <w:p>
            <w:r/>
            <w:r>
              <w:rPr>
                <w:rFonts w:ascii="Arial" w:hAnsi="Arial"/>
                <w:sz w:val="18"/>
              </w:rPr>
              <w:t>Equity kicker awareness</w:t>
            </w:r>
          </w:p>
        </w:tc>
        <w:tc>
          <w:tcPr>
            <w:tcW w:type="dxa" w:w="5760"/>
          </w:tcPr>
          <w:p>
            <w:r/>
            <w:r>
              <w:rPr>
                <w:rFonts w:ascii="Arial" w:hAnsi="Arial"/>
                <w:sz w:val="18"/>
              </w:rPr>
              <w:t>Investor must be made aware of existing 4.5% UpCharge kickers</w:t>
            </w:r>
          </w:p>
        </w:tc>
      </w:tr>
      <w:tr>
        <w:tc>
          <w:tcPr>
            <w:tcW w:type="dxa" w:w="2592"/>
          </w:tcPr>
          <w:p>
            <w:r/>
            <w:r>
              <w:rPr>
                <w:rFonts w:ascii="Arial" w:hAnsi="Arial"/>
                <w:sz w:val="18"/>
              </w:rPr>
              <w:t>Use of proceeds restriction</w:t>
            </w:r>
          </w:p>
        </w:tc>
        <w:tc>
          <w:tcPr>
            <w:tcW w:type="dxa" w:w="5760"/>
          </w:tcPr>
          <w:p>
            <w:r/>
            <w:r>
              <w:rPr>
                <w:rFonts w:ascii="Arial" w:hAnsi="Arial"/>
                <w:sz w:val="18"/>
              </w:rPr>
              <w:t>100% to deal funding + WC; no founder payout</w:t>
            </w:r>
          </w:p>
        </w:tc>
      </w:tr>
    </w:tbl>
    <w:p>
      <w:r>
        <w:br w:type="page"/>
      </w:r>
    </w:p>
    <w:p>
      <w:pPr>
        <w:pStyle w:val="Heading1"/>
      </w:pPr>
      <w:r>
        <w:rPr>
          <w:color w:val="1F3864"/>
        </w:rPr>
        <w:t>6. Lender Recommendation &amp; Conditions Precedent</w:t>
      </w:r>
    </w:p>
    <w:p>
      <w:r>
        <w:rPr>
          <w:rFonts w:ascii="Arial" w:hAnsi="Arial"/>
          <w:b/>
          <w:i w:val="0"/>
          <w:color w:val="C00000"/>
          <w:sz w:val="22"/>
        </w:rPr>
        <w:t>RECOMMENDATION: APPROVE WITH STRUCTURAL CHANGES.</w:t>
      </w:r>
    </w:p>
    <w:p>
      <w:r>
        <w:rPr>
          <w:rFonts w:ascii="Arial" w:hAnsi="Arial"/>
          <w:b w:val="0"/>
          <w:i w:val="0"/>
          <w:sz w:val="20"/>
        </w:rPr>
        <w:t>Do not approve a vanilla $2M @ 12% / 7yr loan as currently structured — DSCR fails. Approve a restructured facility with the following modifications and conditions precedent.</w:t>
      </w:r>
    </w:p>
    <w:p>
      <w:pPr>
        <w:pStyle w:val="Heading2"/>
      </w:pPr>
      <w:r>
        <w:t>6.1 Proposed facility restructuring</w:t>
      </w:r>
    </w:p>
    <w:tbl>
      <w:tblPr>
        <w:tblStyle w:val="LightGrid-Accent1"/>
        <w:tblW w:type="auto" w:w="0"/>
        <w:tblLook w:firstColumn="1" w:firstRow="1" w:lastColumn="0" w:lastRow="0" w:noHBand="0" w:noVBand="1" w:val="04A0"/>
      </w:tblPr>
      <w:tblGrid>
        <w:gridCol w:w="3249"/>
        <w:gridCol w:w="3249"/>
        <w:gridCol w:w="3249"/>
      </w:tblGrid>
      <w:tr>
        <w:tc>
          <w:tcPr>
            <w:tcW w:type="dxa" w:w="2592"/>
            <w:shd w:fill="1F3864"/>
          </w:tcPr>
          <w:p>
            <w:r/>
            <w:r>
              <w:rPr>
                <w:rFonts w:ascii="Arial" w:hAnsi="Arial"/>
                <w:b/>
                <w:color w:val="FFFFFF"/>
                <w:sz w:val="18"/>
              </w:rPr>
              <w:t>Term</w:t>
            </w:r>
          </w:p>
        </w:tc>
        <w:tc>
          <w:tcPr>
            <w:tcW w:type="dxa" w:w="2304"/>
            <w:shd w:fill="1F3864"/>
          </w:tcPr>
          <w:p>
            <w:r/>
            <w:r>
              <w:rPr>
                <w:rFonts w:ascii="Arial" w:hAnsi="Arial"/>
                <w:b/>
                <w:color w:val="FFFFFF"/>
                <w:sz w:val="18"/>
              </w:rPr>
              <w:t>As proposed</w:t>
            </w:r>
          </w:p>
        </w:tc>
        <w:tc>
          <w:tcPr>
            <w:tcW w:type="dxa" w:w="3456"/>
            <w:shd w:fill="1F3864"/>
          </w:tcPr>
          <w:p>
            <w:r/>
            <w:r>
              <w:rPr>
                <w:rFonts w:ascii="Arial" w:hAnsi="Arial"/>
                <w:b/>
                <w:color w:val="FFFFFF"/>
                <w:sz w:val="18"/>
              </w:rPr>
              <w:t>Recommended</w:t>
            </w:r>
          </w:p>
        </w:tc>
      </w:tr>
      <w:tr>
        <w:tc>
          <w:tcPr>
            <w:tcW w:type="dxa" w:w="2592"/>
          </w:tcPr>
          <w:p>
            <w:r/>
            <w:r>
              <w:rPr>
                <w:rFonts w:ascii="Arial" w:hAnsi="Arial"/>
                <w:sz w:val="18"/>
              </w:rPr>
              <w:t>Principal</w:t>
            </w:r>
          </w:p>
        </w:tc>
        <w:tc>
          <w:tcPr>
            <w:tcW w:type="dxa" w:w="2304"/>
          </w:tcPr>
          <w:p>
            <w:r/>
            <w:r>
              <w:rPr>
                <w:rFonts w:ascii="Arial" w:hAnsi="Arial"/>
                <w:sz w:val="18"/>
              </w:rPr>
              <w:t>$2,000,000</w:t>
            </w:r>
          </w:p>
        </w:tc>
        <w:tc>
          <w:tcPr>
            <w:tcW w:type="dxa" w:w="3456"/>
          </w:tcPr>
          <w:p>
            <w:r/>
            <w:r>
              <w:rPr>
                <w:rFonts w:ascii="Arial" w:hAnsi="Arial"/>
                <w:sz w:val="18"/>
              </w:rPr>
              <w:t>$2,000,000</w:t>
            </w:r>
          </w:p>
        </w:tc>
      </w:tr>
      <w:tr>
        <w:tc>
          <w:tcPr>
            <w:tcW w:type="dxa" w:w="2592"/>
          </w:tcPr>
          <w:p>
            <w:r/>
            <w:r>
              <w:rPr>
                <w:rFonts w:ascii="Arial" w:hAnsi="Arial"/>
                <w:sz w:val="18"/>
              </w:rPr>
              <w:t>Rate</w:t>
            </w:r>
          </w:p>
        </w:tc>
        <w:tc>
          <w:tcPr>
            <w:tcW w:type="dxa" w:w="2304"/>
          </w:tcPr>
          <w:p>
            <w:r/>
            <w:r>
              <w:rPr>
                <w:rFonts w:ascii="Arial" w:hAnsi="Arial"/>
                <w:sz w:val="18"/>
              </w:rPr>
              <w:t>12.0%</w:t>
            </w:r>
          </w:p>
        </w:tc>
        <w:tc>
          <w:tcPr>
            <w:tcW w:type="dxa" w:w="3456"/>
          </w:tcPr>
          <w:p>
            <w:r/>
            <w:r>
              <w:rPr>
                <w:rFonts w:ascii="Arial" w:hAnsi="Arial"/>
                <w:sz w:val="18"/>
              </w:rPr>
              <w:t>12.0% base + 2.0% step-up on Shopify policy change</w:t>
            </w:r>
          </w:p>
        </w:tc>
      </w:tr>
      <w:tr>
        <w:tc>
          <w:tcPr>
            <w:tcW w:type="dxa" w:w="2592"/>
          </w:tcPr>
          <w:p>
            <w:r/>
            <w:r>
              <w:rPr>
                <w:rFonts w:ascii="Arial" w:hAnsi="Arial"/>
                <w:sz w:val="18"/>
              </w:rPr>
              <w:t>Tenor</w:t>
            </w:r>
          </w:p>
        </w:tc>
        <w:tc>
          <w:tcPr>
            <w:tcW w:type="dxa" w:w="2304"/>
          </w:tcPr>
          <w:p>
            <w:r/>
            <w:r>
              <w:rPr>
                <w:rFonts w:ascii="Arial" w:hAnsi="Arial"/>
                <w:sz w:val="18"/>
              </w:rPr>
              <w:t>Not specified</w:t>
            </w:r>
          </w:p>
        </w:tc>
        <w:tc>
          <w:tcPr>
            <w:tcW w:type="dxa" w:w="3456"/>
          </w:tcPr>
          <w:p>
            <w:r/>
            <w:r>
              <w:rPr>
                <w:rFonts w:ascii="Arial" w:hAnsi="Arial"/>
                <w:sz w:val="18"/>
              </w:rPr>
              <w:t>10 years</w:t>
            </w:r>
          </w:p>
        </w:tc>
      </w:tr>
      <w:tr>
        <w:tc>
          <w:tcPr>
            <w:tcW w:type="dxa" w:w="2592"/>
          </w:tcPr>
          <w:p>
            <w:r/>
            <w:r>
              <w:rPr>
                <w:rFonts w:ascii="Arial" w:hAnsi="Arial"/>
                <w:sz w:val="18"/>
              </w:rPr>
              <w:t>Amortization</w:t>
            </w:r>
          </w:p>
        </w:tc>
        <w:tc>
          <w:tcPr>
            <w:tcW w:type="dxa" w:w="2304"/>
          </w:tcPr>
          <w:p>
            <w:r/>
            <w:r>
              <w:rPr>
                <w:rFonts w:ascii="Arial" w:hAnsi="Arial"/>
                <w:sz w:val="18"/>
              </w:rPr>
              <w:t>Not specified</w:t>
            </w:r>
          </w:p>
        </w:tc>
        <w:tc>
          <w:tcPr>
            <w:tcW w:type="dxa" w:w="3456"/>
          </w:tcPr>
          <w:p>
            <w:r/>
            <w:r>
              <w:rPr>
                <w:rFonts w:ascii="Arial" w:hAnsi="Arial"/>
                <w:sz w:val="18"/>
              </w:rPr>
              <w:t>Interest-only first 24 months, then 8yr amort</w:t>
            </w:r>
          </w:p>
        </w:tc>
      </w:tr>
      <w:tr>
        <w:tc>
          <w:tcPr>
            <w:tcW w:type="dxa" w:w="2592"/>
          </w:tcPr>
          <w:p>
            <w:r/>
            <w:r>
              <w:rPr>
                <w:rFonts w:ascii="Arial" w:hAnsi="Arial"/>
                <w:sz w:val="18"/>
              </w:rPr>
              <w:t>Annual P+I in IO period</w:t>
            </w:r>
          </w:p>
        </w:tc>
        <w:tc>
          <w:tcPr>
            <w:tcW w:type="dxa" w:w="2304"/>
          </w:tcPr>
          <w:p>
            <w:r/>
            <w:r>
              <w:rPr>
                <w:rFonts w:ascii="Arial" w:hAnsi="Arial"/>
                <w:sz w:val="18"/>
              </w:rPr>
              <w:t>—</w:t>
            </w:r>
          </w:p>
        </w:tc>
        <w:tc>
          <w:tcPr>
            <w:tcW w:type="dxa" w:w="3456"/>
          </w:tcPr>
          <w:p>
            <w:r/>
            <w:r>
              <w:rPr>
                <w:rFonts w:ascii="Arial" w:hAnsi="Arial"/>
                <w:sz w:val="18"/>
              </w:rPr>
              <w:t>$240,000</w:t>
            </w:r>
          </w:p>
        </w:tc>
      </w:tr>
      <w:tr>
        <w:tc>
          <w:tcPr>
            <w:tcW w:type="dxa" w:w="2592"/>
          </w:tcPr>
          <w:p>
            <w:r/>
            <w:r>
              <w:rPr>
                <w:rFonts w:ascii="Arial" w:hAnsi="Arial"/>
                <w:sz w:val="18"/>
              </w:rPr>
              <w:t>Annual P+I in amort period</w:t>
            </w:r>
          </w:p>
        </w:tc>
        <w:tc>
          <w:tcPr>
            <w:tcW w:type="dxa" w:w="2304"/>
          </w:tcPr>
          <w:p>
            <w:r/>
            <w:r>
              <w:rPr>
                <w:rFonts w:ascii="Arial" w:hAnsi="Arial"/>
                <w:sz w:val="18"/>
              </w:rPr>
              <w:t>—</w:t>
            </w:r>
          </w:p>
        </w:tc>
        <w:tc>
          <w:tcPr>
            <w:tcW w:type="dxa" w:w="3456"/>
          </w:tcPr>
          <w:p>
            <w:r/>
            <w:r>
              <w:rPr>
                <w:rFonts w:ascii="Arial" w:hAnsi="Arial"/>
                <w:sz w:val="18"/>
              </w:rPr>
              <w:t>~$385,000</w:t>
            </w:r>
          </w:p>
        </w:tc>
      </w:tr>
      <w:tr>
        <w:tc>
          <w:tcPr>
            <w:tcW w:type="dxa" w:w="2592"/>
          </w:tcPr>
          <w:p>
            <w:r/>
            <w:r>
              <w:rPr>
                <w:rFonts w:ascii="Arial" w:hAnsi="Arial"/>
                <w:sz w:val="18"/>
              </w:rPr>
              <w:t>DSCR covenant</w:t>
            </w:r>
          </w:p>
        </w:tc>
        <w:tc>
          <w:tcPr>
            <w:tcW w:type="dxa" w:w="2304"/>
          </w:tcPr>
          <w:p>
            <w:r/>
            <w:r>
              <w:rPr>
                <w:rFonts w:ascii="Arial" w:hAnsi="Arial"/>
                <w:sz w:val="18"/>
              </w:rPr>
              <w:t>Standard 1.25x</w:t>
            </w:r>
          </w:p>
        </w:tc>
        <w:tc>
          <w:tcPr>
            <w:tcW w:type="dxa" w:w="3456"/>
          </w:tcPr>
          <w:p>
            <w:r/>
            <w:r>
              <w:rPr>
                <w:rFonts w:ascii="Arial" w:hAnsi="Arial"/>
                <w:sz w:val="18"/>
              </w:rPr>
              <w:t>1.0x (year 1-2), 1.2x (year 3+)</w:t>
            </w:r>
          </w:p>
        </w:tc>
      </w:tr>
      <w:tr>
        <w:tc>
          <w:tcPr>
            <w:tcW w:type="dxa" w:w="2592"/>
          </w:tcPr>
          <w:p>
            <w:r/>
            <w:r>
              <w:rPr>
                <w:rFonts w:ascii="Arial" w:hAnsi="Arial"/>
                <w:sz w:val="18"/>
              </w:rPr>
              <w:t>Cash sweep</w:t>
            </w:r>
          </w:p>
        </w:tc>
        <w:tc>
          <w:tcPr>
            <w:tcW w:type="dxa" w:w="2304"/>
          </w:tcPr>
          <w:p>
            <w:r/>
            <w:r>
              <w:rPr>
                <w:rFonts w:ascii="Arial" w:hAnsi="Arial"/>
                <w:sz w:val="18"/>
              </w:rPr>
              <w:t>—</w:t>
            </w:r>
          </w:p>
        </w:tc>
        <w:tc>
          <w:tcPr>
            <w:tcW w:type="dxa" w:w="3456"/>
          </w:tcPr>
          <w:p>
            <w:r/>
            <w:r>
              <w:rPr>
                <w:rFonts w:ascii="Arial" w:hAnsi="Arial"/>
                <w:sz w:val="18"/>
              </w:rPr>
              <w:t>50% of excess cash flow above DSCR 1.4x</w:t>
            </w:r>
          </w:p>
        </w:tc>
      </w:tr>
      <w:tr>
        <w:tc>
          <w:tcPr>
            <w:tcW w:type="dxa" w:w="2592"/>
          </w:tcPr>
          <w:p>
            <w:r/>
            <w:r>
              <w:rPr>
                <w:rFonts w:ascii="Arial" w:hAnsi="Arial"/>
                <w:sz w:val="18"/>
              </w:rPr>
              <w:t>DS reserve</w:t>
            </w:r>
          </w:p>
        </w:tc>
        <w:tc>
          <w:tcPr>
            <w:tcW w:type="dxa" w:w="2304"/>
          </w:tcPr>
          <w:p>
            <w:r/>
            <w:r>
              <w:rPr>
                <w:rFonts w:ascii="Arial" w:hAnsi="Arial"/>
                <w:sz w:val="18"/>
              </w:rPr>
              <w:t>—</w:t>
            </w:r>
          </w:p>
        </w:tc>
        <w:tc>
          <w:tcPr>
            <w:tcW w:type="dxa" w:w="3456"/>
          </w:tcPr>
          <w:p>
            <w:r/>
            <w:r>
              <w:rPr>
                <w:rFonts w:ascii="Arial" w:hAnsi="Arial"/>
                <w:sz w:val="18"/>
              </w:rPr>
              <w:t>$130K (6mo IO) pre-funded at close</w:t>
            </w:r>
          </w:p>
        </w:tc>
      </w:tr>
      <w:tr>
        <w:tc>
          <w:tcPr>
            <w:tcW w:type="dxa" w:w="2592"/>
          </w:tcPr>
          <w:p>
            <w:r/>
            <w:r>
              <w:rPr>
                <w:rFonts w:ascii="Arial" w:hAnsi="Arial"/>
                <w:sz w:val="18"/>
              </w:rPr>
              <w:t>Total debt covenant</w:t>
            </w:r>
          </w:p>
        </w:tc>
        <w:tc>
          <w:tcPr>
            <w:tcW w:type="dxa" w:w="2304"/>
          </w:tcPr>
          <w:p>
            <w:r/>
            <w:r>
              <w:rPr>
                <w:rFonts w:ascii="Arial" w:hAnsi="Arial"/>
                <w:sz w:val="18"/>
              </w:rPr>
              <w:t>—</w:t>
            </w:r>
          </w:p>
        </w:tc>
        <w:tc>
          <w:tcPr>
            <w:tcW w:type="dxa" w:w="3456"/>
          </w:tcPr>
          <w:p>
            <w:r/>
            <w:r>
              <w:rPr>
                <w:rFonts w:ascii="Arial" w:hAnsi="Arial"/>
                <w:sz w:val="18"/>
              </w:rPr>
              <w:t>Max 4.0x consol. EBITDA</w:t>
            </w:r>
          </w:p>
        </w:tc>
      </w:tr>
    </w:tbl>
    <w:p>
      <w:pPr>
        <w:pStyle w:val="Heading2"/>
      </w:pPr>
      <w:r>
        <w:t>6.2 Conditions precedent (CPs)</w:t>
      </w:r>
    </w:p>
    <w:p>
      <w:pPr>
        <w:pStyle w:val="ListNumber"/>
      </w:pPr>
      <w:r>
        <w:rPr>
          <w:sz w:val="20"/>
        </w:rPr>
        <w:t>Quality of Earnings (QofE) report on the target prepared by a recognized CPA (Big-4 or top-tier regional) — no exceptions</w:t>
      </w:r>
    </w:p>
    <w:p>
      <w:pPr>
        <w:pStyle w:val="ListNumber"/>
      </w:pPr>
      <w:r>
        <w:rPr>
          <w:sz w:val="20"/>
        </w:rPr>
        <w:t>Full legal due diligence on the target including IP ownership, customer contracts, employee matters</w:t>
      </w:r>
    </w:p>
    <w:p>
      <w:pPr>
        <w:pStyle w:val="ListNumber"/>
      </w:pPr>
      <w:r>
        <w:rPr>
          <w:sz w:val="20"/>
        </w:rPr>
        <w:t>Refinance or formal standstill agreement on MageWorx (15%) and Lychkouski loans maturing Dec 2026</w:t>
      </w:r>
    </w:p>
    <w:p>
      <w:pPr>
        <w:pStyle w:val="ListNumber"/>
      </w:pPr>
      <w:r>
        <w:rPr>
          <w:sz w:val="20"/>
        </w:rPr>
        <w:t>Conversion of Yuri Lavkov (Cash) €33K informal debt into a formal loan agreement (or full repayment pre-close)</w:t>
      </w:r>
    </w:p>
    <w:p>
      <w:pPr>
        <w:pStyle w:val="ListNumber"/>
      </w:pPr>
      <w:r>
        <w:rPr>
          <w:sz w:val="20"/>
        </w:rPr>
        <w:t>Subordination agreement from all existing creditors (insiders + third parties) — senior position for the new facility</w:t>
      </w:r>
    </w:p>
    <w:p>
      <w:pPr>
        <w:pStyle w:val="ListNumber"/>
      </w:pPr>
      <w:r>
        <w:rPr>
          <w:sz w:val="20"/>
        </w:rPr>
        <w:t>Sanctions/KYC clearance on all UBOs, founders, and key creditors</w:t>
      </w:r>
    </w:p>
    <w:p>
      <w:pPr>
        <w:pStyle w:val="ListNumber"/>
      </w:pPr>
      <w:r>
        <w:rPr>
          <w:sz w:val="20"/>
        </w:rPr>
        <w:t>Cross-guarantees from all Capitaliply portfolio app-cos</w:t>
      </w:r>
    </w:p>
    <w:p>
      <w:pPr>
        <w:pStyle w:val="ListNumber"/>
      </w:pPr>
      <w:r>
        <w:rPr>
          <w:sz w:val="20"/>
        </w:rPr>
        <w:t>Equity investor closing of $500K confirmed (no debt-only deal)</w:t>
      </w:r>
    </w:p>
    <w:p>
      <w:pPr>
        <w:pStyle w:val="ListNumber"/>
      </w:pPr>
      <w:r>
        <w:rPr>
          <w:sz w:val="20"/>
        </w:rPr>
        <w:t>Tax-clearance opinion on the EUR-denominated debts and crypto-routed repayments</w:t>
      </w:r>
    </w:p>
    <w:p>
      <w:pPr>
        <w:pStyle w:val="ListNumber"/>
      </w:pPr>
      <w:r>
        <w:rPr>
          <w:sz w:val="20"/>
        </w:rPr>
        <w:t>5-year financial model and 36-month cash flow forecast signed off by sponsor</w:t>
      </w:r>
    </w:p>
    <w:p>
      <w:pPr>
        <w:pStyle w:val="ListNumber"/>
      </w:pPr>
      <w:r>
        <w:rPr>
          <w:sz w:val="20"/>
        </w:rPr>
        <w:t>Reps &amp; warranties insurance on the target acquisition (or 15% purchase price escrow)</w:t>
      </w:r>
    </w:p>
    <w:p>
      <w:pPr>
        <w:pStyle w:val="ListNumber"/>
      </w:pPr>
      <w:r>
        <w:rPr>
          <w:sz w:val="20"/>
        </w:rPr>
        <w:t>Operational covenants: minimum app-level investment, no founder distributions while leverage &gt; 3.0x</w:t>
      </w:r>
    </w:p>
    <w:p>
      <w:pPr>
        <w:pStyle w:val="Heading2"/>
      </w:pPr>
      <w:r>
        <w:t>6.3 Ongoing reporting requirements</w:t>
      </w:r>
    </w:p>
    <w:p>
      <w:pPr>
        <w:pStyle w:val="ListBullet"/>
      </w:pPr>
      <w:r>
        <w:rPr>
          <w:sz w:val="20"/>
        </w:rPr>
        <w:t>Monthly app-level revenue and EBITDA pack (15 business days after month end)</w:t>
      </w:r>
    </w:p>
    <w:p>
      <w:pPr>
        <w:pStyle w:val="ListBullet"/>
      </w:pPr>
      <w:r>
        <w:rPr>
          <w:sz w:val="20"/>
        </w:rPr>
        <w:t>Quarterly compliance certificate from CFO confirming covenant levels</w:t>
      </w:r>
    </w:p>
    <w:p>
      <w:pPr>
        <w:pStyle w:val="ListBullet"/>
      </w:pPr>
      <w:r>
        <w:rPr>
          <w:sz w:val="20"/>
        </w:rPr>
        <w:t>Annual audited financials within 120 days of fiscal year end</w:t>
      </w:r>
    </w:p>
    <w:p>
      <w:pPr>
        <w:pStyle w:val="ListBullet"/>
      </w:pPr>
      <w:r>
        <w:rPr>
          <w:sz w:val="20"/>
        </w:rPr>
        <w:t>Immediate notice of any Shopify policy or fee change affecting &gt; $50K of annual revenue</w:t>
      </w:r>
    </w:p>
    <w:p>
      <w:pPr>
        <w:pStyle w:val="ListBullet"/>
      </w:pPr>
      <w:r>
        <w:rPr>
          <w:sz w:val="20"/>
        </w:rPr>
        <w:t>Immediate notice of any litigation, key personnel departure, or material customer loss</w:t>
      </w:r>
    </w:p>
    <w:p>
      <w:pPr>
        <w:pStyle w:val="ListBullet"/>
      </w:pPr>
      <w:r>
        <w:rPr>
          <w:sz w:val="20"/>
        </w:rPr>
        <w:t>Quarterly forecast update with variance to plan explanation</w:t>
      </w:r>
    </w:p>
    <w:p/>
    <w:p>
      <w:r>
        <w:rPr>
          <w:rFonts w:ascii="Arial" w:hAnsi="Arial"/>
          <w:b/>
          <w:i w:val="0"/>
          <w:color w:val="C00000"/>
          <w:sz w:val="20"/>
        </w:rPr>
        <w:t>If the sponsor is unable to accept the above structural changes and CPs, we recommend the lender PASS on the facility. The risk-reward of a 12% loan with sub-1.25x DSCR and structural Shopify-policy exposure does not warrant the credit risk.</w:t>
      </w:r>
    </w:p>
    <w:p/>
    <w:p>
      <w:pPr>
        <w:jc w:val="center"/>
      </w:pPr>
      <w:r>
        <w:rPr>
          <w:rFonts w:ascii="Arial" w:hAnsi="Arial"/>
          <w:b w:val="0"/>
          <w:i/>
          <w:color w:val="808080"/>
          <w:sz w:val="18"/>
        </w:rPr>
        <w:t>—— END OF MEMO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