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72"/>
        </w:rPr>
        <w:br/>
        <w:br/>
        <w:br/>
        <w:t>PROJECT LEDGER</w:t>
      </w:r>
    </w:p>
    <w:p>
      <w:pPr>
        <w:jc w:val="center"/>
      </w:pPr>
      <w:r>
        <w:rPr>
          <w:color w:val="FF6B35"/>
          <w:sz w:val="40"/>
        </w:rPr>
        <w:t>AI-Enabled SMB Accounting Roll-Up</w:t>
      </w:r>
    </w:p>
    <w:p>
      <w:pPr>
        <w:jc w:val="center"/>
      </w:pPr>
      <w:r>
        <w:rPr>
          <w:i/>
          <w:color w:val="555555"/>
          <w:sz w:val="26"/>
        </w:rPr>
        <w:t>A Visma-style buy-and-build platform for Poland, Italy and Cyprus</w:t>
      </w:r>
    </w:p>
    <w:p>
      <w:r>
        <w:br/>
        <w:br/>
      </w:r>
    </w:p>
    <w:p>
      <w:pPr>
        <w:jc w:val="center"/>
      </w:pPr>
      <w:r>
        <w:rPr>
          <w:color w:val="555555"/>
          <w:sz w:val="22"/>
        </w:rPr>
        <w:t>Strategic Memo  ·  Founder Package  ·  May 2026</w:t>
        <w:br/>
      </w:r>
      <w:r>
        <w:rPr>
          <w:color w:val="AAAAAA"/>
          <w:sz w:val="20"/>
        </w:rPr>
        <w:t>Prepared for: Founders / Lead Investors</w:t>
        <w:br/>
        <w:t>Document: Strategic Memo (3 of 3) — paired with Financial Model (.xlsx) and Pitch Deck (.pptx)</w:t>
      </w:r>
    </w:p>
    <w:p>
      <w:r>
        <w:br w:type="page"/>
      </w:r>
    </w:p>
    <w:p>
      <w:pPr>
        <w:spacing w:before="360" w:after="120"/>
      </w:pPr>
      <w:r>
        <w:rPr>
          <w:rFonts w:ascii="Calibri" w:hAnsi="Calibri"/>
          <w:b/>
          <w:color w:val="1F3A5F"/>
          <w:sz w:val="40"/>
        </w:rPr>
        <w:t>Contents</w:t>
      </w:r>
    </w:p>
    <w:p>
      <w:pPr>
        <w:spacing w:after="40"/>
      </w:pPr>
      <w:r>
        <w:rPr>
          <w:rFonts w:ascii="Calibri" w:hAnsi="Calibri"/>
          <w:sz w:val="22"/>
        </w:rPr>
        <w:t>1.  Executive Summary</w:t>
      </w:r>
    </w:p>
    <w:p>
      <w:pPr>
        <w:spacing w:after="40"/>
      </w:pPr>
      <w:r>
        <w:rPr>
          <w:rFonts w:ascii="Calibri" w:hAnsi="Calibri"/>
          <w:sz w:val="22"/>
        </w:rPr>
        <w:t>2.  Reference Analysis — Sumer.io and Visma</w:t>
      </w:r>
    </w:p>
    <w:p>
      <w:pPr>
        <w:spacing w:after="40"/>
      </w:pPr>
      <w:r>
        <w:rPr>
          <w:rFonts w:ascii="Calibri" w:hAnsi="Calibri"/>
          <w:sz w:val="22"/>
        </w:rPr>
        <w:t>3.  Strategic Thesis</w:t>
      </w:r>
    </w:p>
    <w:p>
      <w:pPr>
        <w:spacing w:after="40"/>
      </w:pPr>
      <w:r>
        <w:rPr>
          <w:rFonts w:ascii="Calibri" w:hAnsi="Calibri"/>
          <w:sz w:val="22"/>
        </w:rPr>
        <w:t>4.  Market Selection — Poland, Italy, Cyprus</w:t>
      </w:r>
    </w:p>
    <w:p>
      <w:pPr>
        <w:spacing w:after="40"/>
      </w:pPr>
      <w:r>
        <w:rPr>
          <w:rFonts w:ascii="Calibri" w:hAnsi="Calibri"/>
          <w:sz w:val="22"/>
        </w:rPr>
        <w:t>5.  Operating Model</w:t>
      </w:r>
    </w:p>
    <w:p>
      <w:pPr>
        <w:spacing w:after="40"/>
      </w:pPr>
      <w:r>
        <w:rPr>
          <w:rFonts w:ascii="Calibri" w:hAnsi="Calibri"/>
          <w:sz w:val="22"/>
        </w:rPr>
        <w:t>6.  M&amp;A Playbook</w:t>
      </w:r>
    </w:p>
    <w:p>
      <w:pPr>
        <w:spacing w:after="40"/>
      </w:pPr>
      <w:r>
        <w:rPr>
          <w:rFonts w:ascii="Calibri" w:hAnsi="Calibri"/>
          <w:sz w:val="22"/>
        </w:rPr>
        <w:t>7.  Software &amp; Technology Stack</w:t>
      </w:r>
    </w:p>
    <w:p>
      <w:pPr>
        <w:spacing w:after="40"/>
      </w:pPr>
      <w:r>
        <w:rPr>
          <w:rFonts w:ascii="Calibri" w:hAnsi="Calibri"/>
          <w:sz w:val="22"/>
        </w:rPr>
        <w:t>8.  100-Day Launch Plan</w:t>
      </w:r>
    </w:p>
    <w:p>
      <w:pPr>
        <w:spacing w:after="40"/>
      </w:pPr>
      <w:r>
        <w:rPr>
          <w:rFonts w:ascii="Calibri" w:hAnsi="Calibri"/>
          <w:sz w:val="22"/>
        </w:rPr>
        <w:t>9.  Capital Plan and Returns</w:t>
      </w:r>
    </w:p>
    <w:p>
      <w:pPr>
        <w:spacing w:after="40"/>
      </w:pPr>
      <w:r>
        <w:rPr>
          <w:rFonts w:ascii="Calibri" w:hAnsi="Calibri"/>
          <w:sz w:val="22"/>
        </w:rPr>
        <w:t>10.  Risks and Mitigations</w:t>
      </w:r>
    </w:p>
    <w:p>
      <w:pPr>
        <w:spacing w:after="40"/>
      </w:pPr>
      <w:r>
        <w:rPr>
          <w:rFonts w:ascii="Calibri" w:hAnsi="Calibri"/>
          <w:sz w:val="22"/>
        </w:rPr>
        <w:t>11.  Sources, Methodology, Open Questions</w:t>
      </w:r>
    </w:p>
    <w:p>
      <w:r>
        <w:br w:type="page"/>
      </w:r>
    </w:p>
    <w:p>
      <w:pPr>
        <w:spacing w:before="360" w:after="120"/>
      </w:pPr>
      <w:r>
        <w:rPr>
          <w:rFonts w:ascii="Calibri" w:hAnsi="Calibri"/>
          <w:b/>
          <w:color w:val="1F3A5F"/>
          <w:sz w:val="40"/>
        </w:rPr>
        <w:t>1. Executive Summary</w:t>
      </w:r>
    </w:p>
    <w:p>
      <w:pPr>
        <w:spacing w:after="80" w:line="300" w:lineRule="auto"/>
      </w:pPr>
      <w:r>
        <w:rPr>
          <w:rFonts w:ascii="Calibri" w:hAnsi="Calibri"/>
          <w:b w:val="0"/>
          <w:i w:val="0"/>
          <w:color w:val="101010"/>
          <w:sz w:val="22"/>
        </w:rPr>
        <w:t>Project Ledger is a buy-and-build holding company that acquires small, profitable accounting and bookkeeping practices in Poland, Italy and Cyprus, layers an AI-native automation stack across their books, and unifies them onto a single operating platform. The thesis is the Visma playbook, applied one geography down, with the Sumer.io product wedge as the AI overlay.</w:t>
      </w:r>
    </w:p>
    <w:p>
      <w:pPr>
        <w:spacing w:after="80" w:line="300" w:lineRule="auto"/>
      </w:pPr>
      <w:r>
        <w:rPr>
          <w:rFonts w:ascii="Calibri" w:hAnsi="Calibri"/>
          <w:b w:val="0"/>
          <w:i/>
          <w:color w:val="101010"/>
          <w:sz w:val="21"/>
        </w:rPr>
        <w:t>There are two direct precedents and both have already won: Sumer Group (UK, founded 2022, Penta Capital-backed, £100M revenue in 12 months across 34 acquisitions, now in £700M–£1bn strategic review) is the M&amp;A roll-up playbook; Visma (Norway, Hg/KKR-backed, €2.5B+ revenue, 300+ acquisitions) is the AI-platform playbook. Our edge is doing both simultaneously, one geography down, before either reaches PL/IT/CY at scale.</w:t>
      </w:r>
    </w:p>
    <w:p>
      <w:pPr>
        <w:spacing w:after="80" w:line="300" w:lineRule="auto"/>
      </w:pPr>
      <w:r>
        <w:rPr>
          <w:rFonts w:ascii="Calibri" w:hAnsi="Calibri"/>
          <w:b w:val="0"/>
          <w:i w:val="0"/>
          <w:color w:val="101010"/>
          <w:sz w:val="22"/>
        </w:rPr>
        <w:t>The opportunity is created by three forces converging at the same time:</w:t>
      </w:r>
    </w:p>
    <w:p>
      <w:pPr>
        <w:pStyle w:val="ListBullet"/>
        <w:spacing w:after="40" w:line="288" w:lineRule="auto"/>
      </w:pPr>
      <w:r>
        <w:rPr>
          <w:rFonts w:ascii="Calibri" w:hAnsi="Calibri"/>
          <w:b/>
          <w:sz w:val="21"/>
        </w:rPr>
        <w:t>Fragmentation:</w:t>
      </w:r>
      <w:r>
        <w:rPr>
          <w:rFonts w:ascii="Calibri" w:hAnsi="Calibri"/>
          <w:sz w:val="21"/>
        </w:rPr>
        <w:t xml:space="preserve"> long-tail fragmentation — over 11,000 sub-€2M accounting practices across PL/IT/CY, the majority owner-operated and approaching retirement;</w:t>
      </w:r>
    </w:p>
    <w:p>
      <w:pPr>
        <w:pStyle w:val="ListBullet"/>
        <w:spacing w:after="40" w:line="288" w:lineRule="auto"/>
      </w:pPr>
      <w:r>
        <w:rPr>
          <w:rFonts w:ascii="Calibri" w:hAnsi="Calibri"/>
          <w:b/>
          <w:sz w:val="21"/>
        </w:rPr>
        <w:t>Mandates:</w:t>
      </w:r>
      <w:r>
        <w:rPr>
          <w:rFonts w:ascii="Calibri" w:hAnsi="Calibri"/>
          <w:sz w:val="21"/>
        </w:rPr>
        <w:t xml:space="preserve"> a regulatory cliff (KSeF in Poland from Feb 2026, SdI in Italy since 2019, MyData adjacent in CY) forcing every small firm onto digital invoice rails — capability gap that smaller firms cannot close alone;</w:t>
      </w:r>
    </w:p>
    <w:p>
      <w:pPr>
        <w:pStyle w:val="ListBullet"/>
        <w:spacing w:after="40" w:line="288" w:lineRule="auto"/>
      </w:pPr>
      <w:r>
        <w:rPr>
          <w:rFonts w:ascii="Calibri" w:hAnsi="Calibri"/>
          <w:b/>
          <w:sz w:val="21"/>
        </w:rPr>
        <w:t>AI overlay:</w:t>
      </w:r>
      <w:r>
        <w:rPr>
          <w:rFonts w:ascii="Calibri" w:hAnsi="Calibri"/>
          <w:sz w:val="21"/>
        </w:rPr>
        <w:t xml:space="preserve"> a credible AI-accounting product layer — OCR, auto-categorization, invoice matching, draft-VAT, anomaly flagging — that compresses 60–70% of a junior bookkeeper's working hours and converts the practice from labor-arbitrage to software-margin economics.</w:t>
      </w:r>
    </w:p>
    <w:p>
      <w:pPr>
        <w:spacing w:after="80" w:line="300" w:lineRule="auto"/>
      </w:pPr>
      <w:r>
        <w:rPr>
          <w:rFonts w:ascii="Calibri" w:hAnsi="Calibri"/>
          <w:b w:val="0"/>
          <w:i w:val="0"/>
          <w:color w:val="101010"/>
          <w:sz w:val="22"/>
        </w:rPr>
        <w:t>Visma has already validated the destination: it acquired Holded (Spain) in 2021 and Fiscozen (Italy) in 2024, and is now the consolidator of record in continental Europe. That validates demand and also exposes the only window we have: the next 24–36 months, before Visma or a US-funded equivalent (e.g. Sage, Wolters Kluwer, Vista Equity) prices us out of the long tail.</w:t>
      </w:r>
    </w:p>
    <w:p>
      <w:pPr>
        <w:spacing w:before="200" w:after="40"/>
      </w:pPr>
      <w:r>
        <w:rPr>
          <w:rFonts w:ascii="Calibri" w:hAnsi="Calibri"/>
          <w:b/>
          <w:color w:val="FF6B35"/>
          <w:sz w:val="23"/>
        </w:rPr>
        <w:t>The plan in one paragraph</w:t>
      </w:r>
    </w:p>
    <w:p>
      <w:pPr>
        <w:spacing w:after="80" w:line="300" w:lineRule="auto"/>
      </w:pPr>
      <w:r>
        <w:rPr>
          <w:rFonts w:ascii="Calibri" w:hAnsi="Calibri"/>
          <w:b w:val="0"/>
          <w:i w:val="0"/>
          <w:color w:val="101010"/>
          <w:sz w:val="21"/>
        </w:rPr>
        <w:t>Raise a €250k founder/angel round Day 1 plus a €750k extension by Day 90; close 2 anchor deals in Poland and a Cyprus holdco in months 4–6 (3.5–4.5× EBITDA on EUR 3–6M revenue practices); raise a €6M Series A in month 9 to fund a 14-deal pipeline through FY30; reach €33M revenue and €11M EBITDA by FY30 across PL/IT/CY; exit at 9–11× EBITDA to Visma, EQT, Hg, Vista or a SPAC at €90–110M EV, returning 5.5–7.0× MoIC to the seed and &gt;35% IRR to the Series A.</w:t>
      </w:r>
    </w:p>
    <w:p>
      <w:pPr>
        <w:spacing w:before="200" w:after="40"/>
      </w:pPr>
      <w:r>
        <w:rPr>
          <w:rFonts w:ascii="Calibri" w:hAnsi="Calibri"/>
          <w:b/>
          <w:color w:val="FF6B35"/>
          <w:sz w:val="23"/>
        </w:rPr>
        <w:t>Why we can win</w:t>
      </w:r>
    </w:p>
    <w:p>
      <w:pPr>
        <w:pStyle w:val="ListBullet"/>
        <w:spacing w:after="40" w:line="288" w:lineRule="auto"/>
      </w:pPr>
      <w:r>
        <w:rPr>
          <w:rFonts w:ascii="Calibri" w:hAnsi="Calibri"/>
          <w:b/>
          <w:sz w:val="21"/>
        </w:rPr>
        <w:t>Below the radar:</w:t>
      </w:r>
      <w:r>
        <w:rPr>
          <w:rFonts w:ascii="Calibri" w:hAnsi="Calibri"/>
          <w:sz w:val="21"/>
        </w:rPr>
        <w:t xml:space="preserve"> Visma's footprint validates the M&amp;A thesis but Visma does not chase practices below €5M revenue — that's where 80% of the long tail sits.</w:t>
      </w:r>
    </w:p>
    <w:p>
      <w:pPr>
        <w:pStyle w:val="ListBullet"/>
        <w:spacing w:after="40" w:line="288" w:lineRule="auto"/>
      </w:pPr>
      <w:r>
        <w:rPr>
          <w:rFonts w:ascii="Calibri" w:hAnsi="Calibri"/>
          <w:b/>
          <w:sz w:val="21"/>
        </w:rPr>
        <w:t>Regulatory tailwind:</w:t>
      </w:r>
      <w:r>
        <w:rPr>
          <w:rFonts w:ascii="Calibri" w:hAnsi="Calibri"/>
          <w:sz w:val="21"/>
        </w:rPr>
        <w:t xml:space="preserve"> KSeF Feb 2026 is a forced upgrade cycle. Sellers want out before they have to invest. We are buyers, not vendors.</w:t>
      </w:r>
    </w:p>
    <w:p>
      <w:pPr>
        <w:pStyle w:val="ListBullet"/>
        <w:spacing w:after="40" w:line="288" w:lineRule="auto"/>
      </w:pPr>
      <w:r>
        <w:rPr>
          <w:rFonts w:ascii="Calibri" w:hAnsi="Calibri"/>
          <w:b/>
          <w:sz w:val="21"/>
        </w:rPr>
        <w:t>Competitive whitespace:</w:t>
      </w:r>
      <w:r>
        <w:rPr>
          <w:rFonts w:ascii="Calibri" w:hAnsi="Calibri"/>
          <w:sz w:val="21"/>
        </w:rPr>
        <w:t xml:space="preserve"> No Sage / Wolters Kluwer-style local roll-up exists in our combined geo. Visma is the only credible competitor and they buy at €10M+ EBITDA tickets.</w:t>
      </w:r>
    </w:p>
    <w:p>
      <w:pPr>
        <w:pStyle w:val="ListBullet"/>
        <w:spacing w:after="40" w:line="288" w:lineRule="auto"/>
      </w:pPr>
      <w:r>
        <w:rPr>
          <w:rFonts w:ascii="Calibri" w:hAnsi="Calibri"/>
          <w:b/>
          <w:sz w:val="21"/>
        </w:rPr>
        <w:t>AI is real now:</w:t>
      </w:r>
      <w:r>
        <w:rPr>
          <w:rFonts w:ascii="Calibri" w:hAnsi="Calibri"/>
          <w:sz w:val="21"/>
        </w:rPr>
        <w:t xml:space="preserve"> AI overlay is not 2018 RPA — it is GPT-4o-class OCR + classification that compresses cost-to-serve 30–45% within 12 months of integration.</w:t>
      </w:r>
    </w:p>
    <w:p>
      <w:pPr>
        <w:pStyle w:val="ListBullet"/>
        <w:spacing w:after="40" w:line="288" w:lineRule="auto"/>
      </w:pPr>
      <w:r>
        <w:rPr>
          <w:rFonts w:ascii="Calibri" w:hAnsi="Calibri"/>
          <w:b/>
          <w:sz w:val="21"/>
        </w:rPr>
        <w:t>Structure-friendly:</w:t>
      </w:r>
      <w:r>
        <w:rPr>
          <w:rFonts w:ascii="Calibri" w:hAnsi="Calibri"/>
          <w:sz w:val="21"/>
        </w:rPr>
        <w:t xml:space="preserve"> Cyprus holdco is the natural IP / royalty / tax structuring jurisdiction, with EU passporting; founder is NL-resident with EU mobility.</w:t>
      </w:r>
    </w:p>
    <w:p>
      <w:pPr>
        <w:pBdr>
          <w:bottom w:val="single" w:sz="6" w:space="1" w:color="CCCCCC"/>
        </w:pBdr>
      </w:pPr>
    </w:p>
    <w:p>
      <w:pPr>
        <w:spacing w:before="360" w:after="120"/>
      </w:pPr>
      <w:r>
        <w:rPr>
          <w:rFonts w:ascii="Calibri" w:hAnsi="Calibri"/>
          <w:b/>
          <w:color w:val="1F3A5F"/>
          <w:sz w:val="40"/>
        </w:rPr>
        <w:t>2. Reference Analysis — Sumer.io and Visma</w:t>
      </w:r>
    </w:p>
    <w:p>
      <w:pPr>
        <w:spacing w:before="280" w:after="80"/>
      </w:pPr>
      <w:r>
        <w:rPr>
          <w:rFonts w:ascii="Calibri" w:hAnsi="Calibri"/>
          <w:b/>
          <w:color w:val="1F3A5F"/>
          <w:sz w:val="28"/>
        </w:rPr>
        <w:t>2.1  Sumer Group (UK) — the buy-and-build precedent</w:t>
      </w:r>
    </w:p>
    <w:p>
      <w:pPr>
        <w:spacing w:after="80" w:line="300" w:lineRule="auto"/>
      </w:pPr>
      <w:r>
        <w:rPr>
          <w:rFonts w:ascii="Calibri" w:hAnsi="Calibri"/>
          <w:b w:val="0"/>
          <w:i w:val="0"/>
          <w:color w:val="101010"/>
          <w:sz w:val="21"/>
        </w:rPr>
        <w:t>Sumer Group (sumer.co.uk) is the closest direct precedent for Project Ledger. Founded 2022 by Warren Mead (ex-COO KPMG UK) and two former KPMG colleagues, backed by Penta Capital, Sumer is a PE-backed M&amp;A consolidator of UK regional SME accountancy practices. In ~36 months it has gone from zero to one of the fastest-scaling accountancy platforms in the UK and is now (Sept 2025) in a strategic review with Continuum targeting a £700M–£1bn exit.</w:t>
      </w:r>
    </w:p>
    <w:p>
      <w:pPr>
        <w:spacing w:before="200" w:after="40"/>
      </w:pPr>
      <w:r>
        <w:rPr>
          <w:rFonts w:ascii="Calibri" w:hAnsi="Calibri"/>
          <w:b/>
          <w:color w:val="FF6B35"/>
          <w:sz w:val="23"/>
        </w:rPr>
        <w:t>Sumer at a glance (verified facts)</w:t>
      </w:r>
    </w:p>
    <w:p>
      <w:pPr>
        <w:pStyle w:val="ListBullet"/>
        <w:spacing w:after="40" w:line="288" w:lineRule="auto"/>
      </w:pPr>
      <w:r>
        <w:rPr>
          <w:rFonts w:ascii="Calibri" w:hAnsi="Calibri"/>
          <w:b/>
          <w:sz w:val="21"/>
        </w:rPr>
        <w:t>Founding:</w:t>
      </w:r>
      <w:r>
        <w:rPr>
          <w:rFonts w:ascii="Calibri" w:hAnsi="Calibri"/>
          <w:sz w:val="21"/>
        </w:rPr>
        <w:t xml:space="preserve"> Founded 2022 by Warren Mead (ex-KPMG UK COO) and two KPMG co-founders.</w:t>
      </w:r>
    </w:p>
    <w:p>
      <w:pPr>
        <w:pStyle w:val="ListBullet"/>
        <w:spacing w:after="40" w:line="288" w:lineRule="auto"/>
      </w:pPr>
      <w:r>
        <w:rPr>
          <w:rFonts w:ascii="Calibri" w:hAnsi="Calibri"/>
          <w:b/>
          <w:sz w:val="21"/>
        </w:rPr>
        <w:t>PE backer:</w:t>
      </w:r>
      <w:r>
        <w:rPr>
          <w:rFonts w:ascii="Calibri" w:hAnsi="Calibri"/>
          <w:sz w:val="21"/>
        </w:rPr>
        <w:t xml:space="preserve"> Penta Capital (UK lower-mid-market PE).</w:t>
      </w:r>
    </w:p>
    <w:p>
      <w:pPr>
        <w:pStyle w:val="ListBullet"/>
        <w:spacing w:after="40" w:line="288" w:lineRule="auto"/>
      </w:pPr>
      <w:r>
        <w:rPr>
          <w:rFonts w:ascii="Calibri" w:hAnsi="Calibri"/>
          <w:b/>
          <w:sz w:val="21"/>
        </w:rPr>
        <w:t>Deal count:</w:t>
      </w:r>
      <w:r>
        <w:rPr>
          <w:rFonts w:ascii="Calibri" w:hAnsi="Calibri"/>
          <w:sz w:val="21"/>
        </w:rPr>
        <w:t xml:space="preserve"> 34 acquisitions closed since 2023.</w:t>
      </w:r>
    </w:p>
    <w:p>
      <w:pPr>
        <w:pStyle w:val="ListBullet"/>
        <w:spacing w:after="40" w:line="288" w:lineRule="auto"/>
      </w:pPr>
      <w:r>
        <w:rPr>
          <w:rFonts w:ascii="Calibri" w:hAnsi="Calibri"/>
          <w:b/>
          <w:sz w:val="21"/>
        </w:rPr>
        <w:t>Revenue:</w:t>
      </w:r>
      <w:r>
        <w:rPr>
          <w:rFonts w:ascii="Calibri" w:hAnsi="Calibri"/>
          <w:sz w:val="21"/>
        </w:rPr>
        <w:t xml:space="preserve"> £100M+ revenue achieved 12 months after first close (Feb 2024).</w:t>
      </w:r>
    </w:p>
    <w:p>
      <w:pPr>
        <w:pStyle w:val="ListBullet"/>
        <w:spacing w:after="40" w:line="288" w:lineRule="auto"/>
      </w:pPr>
      <w:r>
        <w:rPr>
          <w:rFonts w:ascii="Calibri" w:hAnsi="Calibri"/>
          <w:b/>
          <w:sz w:val="21"/>
        </w:rPr>
        <w:t>Scale:</w:t>
      </w:r>
      <w:r>
        <w:rPr>
          <w:rFonts w:ascii="Calibri" w:hAnsi="Calibri"/>
          <w:sz w:val="21"/>
        </w:rPr>
        <w:t xml:space="preserve"> 2,400 colleagues, 65 offices, 55,000+ SME clients (Sept 2025); now 3,000+ colleagues and 80+ offices per latest website.</w:t>
      </w:r>
    </w:p>
    <w:p>
      <w:pPr>
        <w:pStyle w:val="ListBullet"/>
        <w:spacing w:after="40" w:line="288" w:lineRule="auto"/>
      </w:pPr>
      <w:r>
        <w:rPr>
          <w:rFonts w:ascii="Calibri" w:hAnsi="Calibri"/>
          <w:b/>
          <w:sz w:val="21"/>
        </w:rPr>
        <w:t>Ranking:</w:t>
      </w:r>
      <w:r>
        <w:rPr>
          <w:rFonts w:ascii="Calibri" w:hAnsi="Calibri"/>
          <w:sz w:val="21"/>
        </w:rPr>
        <w:t xml:space="preserve"> 13th largest accounting network in the UK.</w:t>
      </w:r>
    </w:p>
    <w:p>
      <w:pPr>
        <w:pStyle w:val="ListBullet"/>
        <w:spacing w:after="40" w:line="288" w:lineRule="auto"/>
      </w:pPr>
      <w:r>
        <w:rPr>
          <w:rFonts w:ascii="Calibri" w:hAnsi="Calibri"/>
          <w:b/>
          <w:sz w:val="21"/>
        </w:rPr>
        <w:t>Exit path:</w:t>
      </w:r>
      <w:r>
        <w:rPr>
          <w:rFonts w:ascii="Calibri" w:hAnsi="Calibri"/>
          <w:sz w:val="21"/>
        </w:rPr>
        <w:t xml:space="preserve"> Strategic review with boutique advisor Continuum targeting £1bn valuation; industry consensus £700M (FT sources).</w:t>
      </w:r>
    </w:p>
    <w:p>
      <w:pPr>
        <w:pStyle w:val="ListBullet"/>
        <w:spacing w:after="40" w:line="288" w:lineRule="auto"/>
      </w:pPr>
      <w:r>
        <w:rPr>
          <w:rFonts w:ascii="Calibri" w:hAnsi="Calibri"/>
          <w:b/>
          <w:sz w:val="21"/>
        </w:rPr>
        <w:t>Strategy:</w:t>
      </w:r>
      <w:r>
        <w:rPr>
          <w:rFonts w:ascii="Calibri" w:hAnsi="Calibri"/>
          <w:sz w:val="21"/>
        </w:rPr>
        <w:t xml:space="preserve"> "Regional Champions" model — buys majority stakes in mid-sized accounting firms, lets them retain brand and local identity, centralizes back-office (HR, finance, compliance, tech, payroll).</w:t>
      </w:r>
    </w:p>
    <w:p>
      <w:pPr>
        <w:spacing w:before="200" w:after="40"/>
      </w:pPr>
      <w:r>
        <w:rPr>
          <w:rFonts w:ascii="Calibri" w:hAnsi="Calibri"/>
          <w:b/>
          <w:color w:val="FF6B35"/>
          <w:sz w:val="23"/>
        </w:rPr>
        <w:t>UK competitive landscape — proof the category works</w:t>
      </w:r>
    </w:p>
    <w:p>
      <w:pPr>
        <w:spacing w:after="80" w:line="300" w:lineRule="auto"/>
      </w:pPr>
      <w:r>
        <w:rPr>
          <w:rFonts w:ascii="Calibri" w:hAnsi="Calibri"/>
          <w:b w:val="0"/>
          <w:i w:val="0"/>
          <w:color w:val="101010"/>
          <w:sz w:val="21"/>
        </w:rPr>
        <w:t>Sumer is not alone — the UK has produced six PE-backed accountancy consolidators in the past 5 years, all profitable at scale: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1F3A5F"/>
            <w:vAlign w:val="center"/>
          </w:tcPr>
          <w:p>
            <w:r/>
            <w:r>
              <w:rPr>
                <w:rFonts w:ascii="Calibri" w:hAnsi="Calibri"/>
                <w:b/>
                <w:color w:val="FFFFFF"/>
                <w:sz w:val="20"/>
              </w:rPr>
              <w:t>Consolidator</w:t>
            </w:r>
          </w:p>
        </w:tc>
        <w:tc>
          <w:tcPr>
            <w:tcW w:type="dxa" w:w="2835"/>
            <w:shd w:val="clear" w:color="auto" w:fill="1F3A5F"/>
            <w:vAlign w:val="center"/>
          </w:tcPr>
          <w:p>
            <w:r/>
            <w:r>
              <w:rPr>
                <w:rFonts w:ascii="Calibri" w:hAnsi="Calibri"/>
                <w:b/>
                <w:color w:val="FFFFFF"/>
                <w:sz w:val="20"/>
              </w:rPr>
              <w:t>PE backer</w:t>
            </w:r>
          </w:p>
        </w:tc>
        <w:tc>
          <w:tcPr>
            <w:tcW w:type="dxa" w:w="3402"/>
            <w:shd w:val="clear" w:color="auto" w:fill="1F3A5F"/>
            <w:vAlign w:val="center"/>
          </w:tcPr>
          <w:p>
            <w:r/>
            <w:r>
              <w:rPr>
                <w:rFonts w:ascii="Calibri" w:hAnsi="Calibri"/>
                <w:b/>
                <w:color w:val="FFFFFF"/>
                <w:sz w:val="20"/>
              </w:rPr>
              <w:t>Scale (latest)</w:t>
            </w:r>
          </w:p>
        </w:tc>
      </w:tr>
      <w:tr>
        <w:tc>
          <w:tcPr>
            <w:tcW w:type="dxa" w:w="2551"/>
            <w:vAlign w:val="center"/>
          </w:tcPr>
          <w:p>
            <w:r/>
            <w:r>
              <w:rPr>
                <w:rFonts w:ascii="Calibri" w:hAnsi="Calibri"/>
                <w:sz w:val="19"/>
              </w:rPr>
              <w:t>Azets</w:t>
            </w:r>
          </w:p>
        </w:tc>
        <w:tc>
          <w:tcPr>
            <w:tcW w:type="dxa" w:w="2835"/>
            <w:vAlign w:val="center"/>
          </w:tcPr>
          <w:p>
            <w:r/>
            <w:r>
              <w:rPr>
                <w:rFonts w:ascii="Calibri" w:hAnsi="Calibri"/>
                <w:sz w:val="19"/>
              </w:rPr>
              <w:t>PAI Partners (acq. from HgCapital)</w:t>
            </w:r>
          </w:p>
        </w:tc>
        <w:tc>
          <w:tcPr>
            <w:tcW w:type="dxa" w:w="3402"/>
            <w:vAlign w:val="center"/>
          </w:tcPr>
          <w:p>
            <w:r/>
            <w:r>
              <w:rPr>
                <w:rFonts w:ascii="Calibri" w:hAnsi="Calibri"/>
                <w:sz w:val="19"/>
              </w:rPr>
              <w:t>8,000+ staff, £800M+ revenue</w:t>
            </w:r>
          </w:p>
        </w:tc>
      </w:tr>
      <w:tr>
        <w:tc>
          <w:tcPr>
            <w:tcW w:type="dxa" w:w="2551"/>
            <w:shd w:val="clear" w:color="auto" w:fill="F4F6F9"/>
            <w:vAlign w:val="center"/>
          </w:tcPr>
          <w:p>
            <w:r/>
            <w:r>
              <w:rPr>
                <w:rFonts w:ascii="Calibri" w:hAnsi="Calibri"/>
                <w:sz w:val="19"/>
              </w:rPr>
              <w:t>Sumer</w:t>
            </w:r>
          </w:p>
        </w:tc>
        <w:tc>
          <w:tcPr>
            <w:tcW w:type="dxa" w:w="2835"/>
            <w:shd w:val="clear" w:color="auto" w:fill="F4F6F9"/>
            <w:vAlign w:val="center"/>
          </w:tcPr>
          <w:p>
            <w:r/>
            <w:r>
              <w:rPr>
                <w:rFonts w:ascii="Calibri" w:hAnsi="Calibri"/>
                <w:sz w:val="19"/>
              </w:rPr>
              <w:t>Penta Capital</w:t>
            </w:r>
          </w:p>
        </w:tc>
        <w:tc>
          <w:tcPr>
            <w:tcW w:type="dxa" w:w="3402"/>
            <w:shd w:val="clear" w:color="auto" w:fill="F4F6F9"/>
            <w:vAlign w:val="center"/>
          </w:tcPr>
          <w:p>
            <w:r/>
            <w:r>
              <w:rPr>
                <w:rFonts w:ascii="Calibri" w:hAnsi="Calibri"/>
                <w:sz w:val="19"/>
              </w:rPr>
              <w:t>~2,400 staff, £100M+ revenue, ~36 months</w:t>
            </w:r>
          </w:p>
        </w:tc>
      </w:tr>
      <w:tr>
        <w:tc>
          <w:tcPr>
            <w:tcW w:type="dxa" w:w="2551"/>
            <w:vAlign w:val="center"/>
          </w:tcPr>
          <w:p>
            <w:r/>
            <w:r>
              <w:rPr>
                <w:rFonts w:ascii="Calibri" w:hAnsi="Calibri"/>
                <w:sz w:val="19"/>
              </w:rPr>
              <w:t>Xeinadin</w:t>
            </w:r>
          </w:p>
        </w:tc>
        <w:tc>
          <w:tcPr>
            <w:tcW w:type="dxa" w:w="2835"/>
            <w:vAlign w:val="center"/>
          </w:tcPr>
          <w:p>
            <w:r/>
            <w:r>
              <w:rPr>
                <w:rFonts w:ascii="Calibri" w:hAnsi="Calibri"/>
                <w:sz w:val="19"/>
              </w:rPr>
              <w:t>Exponent Private Equity</w:t>
            </w:r>
          </w:p>
        </w:tc>
        <w:tc>
          <w:tcPr>
            <w:tcW w:type="dxa" w:w="3402"/>
            <w:vAlign w:val="center"/>
          </w:tcPr>
          <w:p>
            <w:r/>
            <w:r>
              <w:rPr>
                <w:rFonts w:ascii="Calibri" w:hAnsi="Calibri"/>
                <w:sz w:val="19"/>
              </w:rPr>
              <w:t>~2,500 staff, ~€250M revenue</w:t>
            </w:r>
          </w:p>
        </w:tc>
      </w:tr>
      <w:tr>
        <w:tc>
          <w:tcPr>
            <w:tcW w:type="dxa" w:w="2551"/>
            <w:shd w:val="clear" w:color="auto" w:fill="F4F6F9"/>
            <w:vAlign w:val="center"/>
          </w:tcPr>
          <w:p>
            <w:r/>
            <w:r>
              <w:rPr>
                <w:rFonts w:ascii="Calibri" w:hAnsi="Calibri"/>
                <w:sz w:val="19"/>
              </w:rPr>
              <w:t>Gravita</w:t>
            </w:r>
          </w:p>
        </w:tc>
        <w:tc>
          <w:tcPr>
            <w:tcW w:type="dxa" w:w="2835"/>
            <w:shd w:val="clear" w:color="auto" w:fill="F4F6F9"/>
            <w:vAlign w:val="center"/>
          </w:tcPr>
          <w:p>
            <w:r/>
            <w:r>
              <w:rPr>
                <w:rFonts w:ascii="Calibri" w:hAnsi="Calibri"/>
                <w:sz w:val="19"/>
              </w:rPr>
              <w:t>Sovereign Capital</w:t>
            </w:r>
          </w:p>
        </w:tc>
        <w:tc>
          <w:tcPr>
            <w:tcW w:type="dxa" w:w="3402"/>
            <w:shd w:val="clear" w:color="auto" w:fill="F4F6F9"/>
            <w:vAlign w:val="center"/>
          </w:tcPr>
          <w:p>
            <w:r/>
            <w:r>
              <w:rPr>
                <w:rFonts w:ascii="Calibri" w:hAnsi="Calibri"/>
                <w:sz w:val="19"/>
              </w:rPr>
              <w:t>~700 staff</w:t>
            </w:r>
          </w:p>
        </w:tc>
      </w:tr>
      <w:tr>
        <w:tc>
          <w:tcPr>
            <w:tcW w:type="dxa" w:w="2551"/>
            <w:vAlign w:val="center"/>
          </w:tcPr>
          <w:p>
            <w:r/>
            <w:r>
              <w:rPr>
                <w:rFonts w:ascii="Calibri" w:hAnsi="Calibri"/>
                <w:sz w:val="19"/>
              </w:rPr>
              <w:t>Cooper Parry</w:t>
            </w:r>
          </w:p>
        </w:tc>
        <w:tc>
          <w:tcPr>
            <w:tcW w:type="dxa" w:w="2835"/>
            <w:vAlign w:val="center"/>
          </w:tcPr>
          <w:p>
            <w:r/>
            <w:r>
              <w:rPr>
                <w:rFonts w:ascii="Calibri" w:hAnsi="Calibri"/>
                <w:sz w:val="19"/>
              </w:rPr>
              <w:t>Waterland</w:t>
            </w:r>
          </w:p>
        </w:tc>
        <w:tc>
          <w:tcPr>
            <w:tcW w:type="dxa" w:w="3402"/>
            <w:vAlign w:val="center"/>
          </w:tcPr>
          <w:p>
            <w:r/>
            <w:r>
              <w:rPr>
                <w:rFonts w:ascii="Calibri" w:hAnsi="Calibri"/>
                <w:sz w:val="19"/>
              </w:rPr>
              <w:t>~1,000 staff</w:t>
            </w:r>
          </w:p>
        </w:tc>
      </w:tr>
      <w:tr>
        <w:tc>
          <w:tcPr>
            <w:tcW w:type="dxa" w:w="2551"/>
            <w:shd w:val="clear" w:color="auto" w:fill="F4F6F9"/>
            <w:vAlign w:val="center"/>
          </w:tcPr>
          <w:p>
            <w:r/>
            <w:r>
              <w:rPr>
                <w:rFonts w:ascii="Calibri" w:hAnsi="Calibri"/>
                <w:sz w:val="19"/>
              </w:rPr>
              <w:t>AAB Group</w:t>
            </w:r>
          </w:p>
        </w:tc>
        <w:tc>
          <w:tcPr>
            <w:tcW w:type="dxa" w:w="2835"/>
            <w:shd w:val="clear" w:color="auto" w:fill="F4F6F9"/>
            <w:vAlign w:val="center"/>
          </w:tcPr>
          <w:p>
            <w:r/>
            <w:r>
              <w:rPr>
                <w:rFonts w:ascii="Calibri" w:hAnsi="Calibri"/>
                <w:sz w:val="19"/>
              </w:rPr>
              <w:t>August Equity</w:t>
            </w:r>
          </w:p>
        </w:tc>
        <w:tc>
          <w:tcPr>
            <w:tcW w:type="dxa" w:w="3402"/>
            <w:shd w:val="clear" w:color="auto" w:fill="F4F6F9"/>
            <w:vAlign w:val="center"/>
          </w:tcPr>
          <w:p>
            <w:r/>
            <w:r>
              <w:rPr>
                <w:rFonts w:ascii="Calibri" w:hAnsi="Calibri"/>
                <w:sz w:val="19"/>
              </w:rPr>
              <w:t>~700 staff</w:t>
            </w:r>
          </w:p>
        </w:tc>
      </w:tr>
    </w:tbl>
    <w:p>
      <w:pPr>
        <w:spacing w:before="200" w:after="40"/>
      </w:pPr>
      <w:r>
        <w:rPr>
          <w:rFonts w:ascii="Calibri" w:hAnsi="Calibri"/>
          <w:b/>
          <w:color w:val="FF6B35"/>
          <w:sz w:val="23"/>
        </w:rPr>
        <w:t>Why this matters for Ledger</w:t>
      </w:r>
    </w:p>
    <w:p>
      <w:pPr>
        <w:spacing w:after="80" w:line="300" w:lineRule="auto"/>
      </w:pPr>
      <w:r>
        <w:rPr>
          <w:rFonts w:ascii="Calibri" w:hAnsi="Calibri"/>
          <w:b w:val="0"/>
          <w:i w:val="0"/>
          <w:color w:val="101010"/>
          <w:sz w:val="21"/>
        </w:rPr>
        <w:t>Sumer is the proof-of-concept for our entire thesis. They started with zero, raised PE in 2022, and built a £100M-revenue platform in 12 months across 34 acquisitions — and are now in conversation about a £700M–£1bn exit at 36 months. That is the exact trajectory we want, with three deliberate differences:</w:t>
      </w:r>
    </w:p>
    <w:p>
      <w:pPr>
        <w:pStyle w:val="ListBullet"/>
        <w:spacing w:after="40" w:line="288" w:lineRule="auto"/>
      </w:pPr>
      <w:r>
        <w:rPr>
          <w:rFonts w:ascii="Calibri" w:hAnsi="Calibri"/>
          <w:b/>
          <w:sz w:val="21"/>
        </w:rPr>
        <w:t>Geography:</w:t>
      </w:r>
      <w:r>
        <w:rPr>
          <w:rFonts w:ascii="Calibri" w:hAnsi="Calibri"/>
          <w:sz w:val="21"/>
        </w:rPr>
        <w:t xml:space="preserve"> UK is fully picked over (6 PE-backed consolidators competing for the same long tail, pushing entry multiples from 4× to 6–7× EBITDA). PL/IT/CY are 24–36 months behind the UK on consolidator penetration.</w:t>
      </w:r>
    </w:p>
    <w:p>
      <w:pPr>
        <w:pStyle w:val="ListBullet"/>
        <w:spacing w:after="40" w:line="288" w:lineRule="auto"/>
      </w:pPr>
      <w:r>
        <w:rPr>
          <w:rFonts w:ascii="Calibri" w:hAnsi="Calibri"/>
          <w:b/>
          <w:sz w:val="21"/>
        </w:rPr>
        <w:t>AI overlay:</w:t>
      </w:r>
      <w:r>
        <w:rPr>
          <w:rFonts w:ascii="Calibri" w:hAnsi="Calibri"/>
          <w:sz w:val="21"/>
        </w:rPr>
        <w:t xml:space="preserve"> Sumer is centralization + scale, not AI-led. Our AI overlay is the additional margin lever Sumer has not yet pulled — a defendable differentiator AND an exit valuation kicker.</w:t>
      </w:r>
    </w:p>
    <w:p>
      <w:pPr>
        <w:pStyle w:val="ListBullet"/>
        <w:spacing w:after="40" w:line="288" w:lineRule="auto"/>
      </w:pPr>
      <w:r>
        <w:rPr>
          <w:rFonts w:ascii="Calibri" w:hAnsi="Calibri"/>
          <w:b/>
          <w:sz w:val="21"/>
        </w:rPr>
        <w:t>Capital scale:</w:t>
      </w:r>
      <w:r>
        <w:rPr>
          <w:rFonts w:ascii="Calibri" w:hAnsi="Calibri"/>
          <w:sz w:val="21"/>
        </w:rPr>
        <w:t xml:space="preserve"> Sumer raises in £40M+ chunks via mid-market PE. We are starting one tier smaller — angels + €6M Series A — to get to Sumer's 12-month £100M-revenue point with €25–35M revenue over 4–5 years. Same playbook, ~30% the scale.</w:t>
      </w:r>
    </w:p>
    <w:p>
      <w:pPr>
        <w:spacing w:after="80" w:line="300" w:lineRule="auto"/>
      </w:pPr>
      <w:r>
        <w:rPr>
          <w:rFonts w:ascii="Calibri" w:hAnsi="Calibri"/>
          <w:b w:val="0"/>
          <w:i/>
          <w:color w:val="101010"/>
          <w:sz w:val="21"/>
        </w:rPr>
        <w:t>Sumer is also a credible exit alternative to Visma. A continental EU consolidator at €30M revenue across 14 practices is exactly the bolt-on asset Sumer (or any UK consolidator) would want for European expansion at FY30.</w:t>
      </w:r>
    </w:p>
    <w:p>
      <w:pPr>
        <w:spacing w:before="280" w:after="80"/>
      </w:pPr>
      <w:r>
        <w:rPr>
          <w:rFonts w:ascii="Calibri" w:hAnsi="Calibri"/>
          <w:b/>
          <w:color w:val="1F3A5F"/>
          <w:sz w:val="28"/>
        </w:rPr>
        <w:t>2.2  Visma — the M&amp;A roll-up reference</w:t>
      </w:r>
    </w:p>
    <w:p>
      <w:pPr>
        <w:spacing w:after="80" w:line="300" w:lineRule="auto"/>
      </w:pPr>
      <w:r>
        <w:rPr>
          <w:rFonts w:ascii="Calibri" w:hAnsi="Calibri"/>
          <w:b w:val="0"/>
          <w:i w:val="0"/>
          <w:color w:val="101010"/>
          <w:sz w:val="21"/>
        </w:rPr>
        <w:t>Visma AS (Norway, owned by Hg Capital, KKR, GIC, ICG, Warburg Pincus) is the dominant European business-software roll-up. Founded 1996 in Oslo, today €2.5B+ revenue, ~15,000 employees, EBITDA margin in the high 20s. Visma has completed &gt;300 acquisitions since 2006 and runs an in-house M&amp;A team of 30+. The Hg dossier on Visma is the single best public blueprint for what we are trying to do.</w:t>
      </w:r>
    </w:p>
    <w:p>
      <w:pPr>
        <w:spacing w:before="200" w:after="40"/>
      </w:pPr>
      <w:r>
        <w:rPr>
          <w:rFonts w:ascii="Calibri" w:hAnsi="Calibri"/>
          <w:b/>
          <w:color w:val="FF6B35"/>
          <w:sz w:val="23"/>
        </w:rPr>
        <w:t>Visma's strategy in five rules</w:t>
      </w:r>
    </w:p>
    <w:p>
      <w:pPr>
        <w:pStyle w:val="ListBullet"/>
        <w:spacing w:after="40" w:line="288" w:lineRule="auto"/>
      </w:pPr>
      <w:r>
        <w:rPr>
          <w:rFonts w:ascii="Calibri" w:hAnsi="Calibri"/>
          <w:b/>
          <w:sz w:val="21"/>
        </w:rPr>
        <w:t>1. Buy profit, not promise:</w:t>
      </w:r>
      <w:r>
        <w:rPr>
          <w:rFonts w:ascii="Calibri" w:hAnsi="Calibri"/>
          <w:sz w:val="21"/>
        </w:rPr>
        <w:t xml:space="preserve"> Acquire profitable SMB software companies in adjacent verticals (accounting, payroll, HR, ERP-lite, public sector) at 8–12× EBITDA. Never overpay for growth.</w:t>
      </w:r>
    </w:p>
    <w:p>
      <w:pPr>
        <w:pStyle w:val="ListBullet"/>
        <w:spacing w:after="40" w:line="288" w:lineRule="auto"/>
      </w:pPr>
      <w:r>
        <w:rPr>
          <w:rFonts w:ascii="Calibri" w:hAnsi="Calibri"/>
          <w:b/>
          <w:sz w:val="21"/>
        </w:rPr>
        <w:t>2. Light-touch integration:</w:t>
      </w:r>
      <w:r>
        <w:rPr>
          <w:rFonts w:ascii="Calibri" w:hAnsi="Calibri"/>
          <w:sz w:val="21"/>
        </w:rPr>
        <w:t xml:space="preserve"> Leave acquired companies operating under their own brand for 2–3 years; integrate the back-office (finance, HR, legal, IT-shared-services) on Day 30, integrate sales motion when ready.</w:t>
      </w:r>
    </w:p>
    <w:p>
      <w:pPr>
        <w:pStyle w:val="ListBullet"/>
        <w:spacing w:after="40" w:line="288" w:lineRule="auto"/>
      </w:pPr>
      <w:r>
        <w:rPr>
          <w:rFonts w:ascii="Calibri" w:hAnsi="Calibri"/>
          <w:b/>
          <w:sz w:val="21"/>
        </w:rPr>
        <w:t>3. Platform consolidation:</w:t>
      </w:r>
      <w:r>
        <w:rPr>
          <w:rFonts w:ascii="Calibri" w:hAnsi="Calibri"/>
          <w:sz w:val="21"/>
        </w:rPr>
        <w:t xml:space="preserve"> Move the customer base onto a Visma cloud platform over 24–36 months; this is where the multiple re-rates from 8× (services) to 14–18× (recurring SaaS).</w:t>
      </w:r>
    </w:p>
    <w:p>
      <w:pPr>
        <w:pStyle w:val="ListBullet"/>
        <w:spacing w:after="40" w:line="288" w:lineRule="auto"/>
      </w:pPr>
      <w:r>
        <w:rPr>
          <w:rFonts w:ascii="Calibri" w:hAnsi="Calibri"/>
          <w:b/>
          <w:sz w:val="21"/>
        </w:rPr>
        <w:t>4. Pipeline is permanent:</w:t>
      </w:r>
      <w:r>
        <w:rPr>
          <w:rFonts w:ascii="Calibri" w:hAnsi="Calibri"/>
          <w:sz w:val="21"/>
        </w:rPr>
        <w:t xml:space="preserve"> M&amp;A is a function, not an event. Visma runs a constant pipeline of 200+ live targets, 30–40 closes per year.</w:t>
      </w:r>
    </w:p>
    <w:p>
      <w:pPr>
        <w:pStyle w:val="ListBullet"/>
        <w:spacing w:after="40" w:line="288" w:lineRule="auto"/>
      </w:pPr>
      <w:r>
        <w:rPr>
          <w:rFonts w:ascii="Calibri" w:hAnsi="Calibri"/>
          <w:b/>
          <w:sz w:val="21"/>
        </w:rPr>
        <w:t>5. Cheap leverage:</w:t>
      </w:r>
      <w:r>
        <w:rPr>
          <w:rFonts w:ascii="Calibri" w:hAnsi="Calibri"/>
          <w:sz w:val="21"/>
        </w:rPr>
        <w:t xml:space="preserve"> Senior debt 4–5× EBITDA (term loan B + revolver) plus PE equity rolls — total leverage 50–60% of EV at deal close. This is where the equity IRR comes from.</w:t>
      </w:r>
    </w:p>
    <w:p>
      <w:pPr>
        <w:spacing w:before="200" w:after="40"/>
      </w:pPr>
      <w:r>
        <w:rPr>
          <w:rFonts w:ascii="Calibri" w:hAnsi="Calibri"/>
          <w:b/>
          <w:color w:val="FF6B35"/>
          <w:sz w:val="23"/>
        </w:rPr>
        <w:t>Visma's recent moves in our geo</w:t>
      </w:r>
    </w:p>
    <w:p>
      <w:pPr>
        <w:pStyle w:val="ListBullet"/>
        <w:spacing w:after="40" w:line="288" w:lineRule="auto"/>
      </w:pPr>
      <w:r>
        <w:rPr>
          <w:rFonts w:ascii="Calibri" w:hAnsi="Calibri"/>
          <w:b/>
          <w:sz w:val="21"/>
        </w:rPr>
        <w:t>Spain:</w:t>
      </w:r>
      <w:r>
        <w:rPr>
          <w:rFonts w:ascii="Calibri" w:hAnsi="Calibri"/>
          <w:sz w:val="21"/>
        </w:rPr>
        <w:t xml:space="preserve"> Holded (Spain) — 2021, accounting+ERP SaaS for autonomos / SMB; valuation rumored ~€120M at the time, ~€8M ARR.</w:t>
      </w:r>
    </w:p>
    <w:p>
      <w:pPr>
        <w:pStyle w:val="ListBullet"/>
        <w:spacing w:after="40" w:line="288" w:lineRule="auto"/>
      </w:pPr>
      <w:r>
        <w:rPr>
          <w:rFonts w:ascii="Calibri" w:hAnsi="Calibri"/>
          <w:b/>
          <w:sz w:val="21"/>
        </w:rPr>
        <w:t>Italy:</w:t>
      </w:r>
      <w:r>
        <w:rPr>
          <w:rFonts w:ascii="Calibri" w:hAnsi="Calibri"/>
          <w:sz w:val="21"/>
        </w:rPr>
        <w:t xml:space="preserve"> Fiscozen (Italy) — 2024, AI-assisted tax returns for self-employed; multi-step acquisition, terms undisclosed.</w:t>
      </w:r>
    </w:p>
    <w:p>
      <w:pPr>
        <w:pStyle w:val="ListBullet"/>
        <w:spacing w:after="40" w:line="288" w:lineRule="auto"/>
      </w:pPr>
      <w:r>
        <w:rPr>
          <w:rFonts w:ascii="Calibri" w:hAnsi="Calibri"/>
          <w:b/>
          <w:sz w:val="21"/>
        </w:rPr>
        <w:t>Poland:</w:t>
      </w:r>
      <w:r>
        <w:rPr>
          <w:rFonts w:ascii="Calibri" w:hAnsi="Calibri"/>
          <w:sz w:val="21"/>
        </w:rPr>
        <w:t xml:space="preserve"> Storksoft and others — selective accounting / e-invoicing integrations.</w:t>
      </w:r>
    </w:p>
    <w:p>
      <w:pPr>
        <w:pStyle w:val="ListBullet"/>
        <w:spacing w:after="40" w:line="288" w:lineRule="auto"/>
      </w:pPr>
      <w:r>
        <w:rPr>
          <w:rFonts w:ascii="Calibri" w:hAnsi="Calibri"/>
          <w:b/>
          <w:sz w:val="21"/>
        </w:rPr>
        <w:t>Cyprus:</w:t>
      </w:r>
      <w:r>
        <w:rPr>
          <w:rFonts w:ascii="Calibri" w:hAnsi="Calibri"/>
          <w:sz w:val="21"/>
        </w:rPr>
        <w:t xml:space="preserve"> No Visma presence at memo date; advantage = first-mover for Ledger.</w:t>
      </w:r>
    </w:p>
    <w:p>
      <w:pPr>
        <w:spacing w:before="200" w:after="40"/>
      </w:pPr>
      <w:r>
        <w:rPr>
          <w:rFonts w:ascii="Calibri" w:hAnsi="Calibri"/>
          <w:b/>
          <w:color w:val="FF6B35"/>
          <w:sz w:val="23"/>
        </w:rPr>
        <w:t>What this means for us</w:t>
      </w:r>
    </w:p>
    <w:p>
      <w:pPr>
        <w:spacing w:after="80" w:line="300" w:lineRule="auto"/>
      </w:pPr>
      <w:r>
        <w:rPr>
          <w:rFonts w:ascii="Calibri" w:hAnsi="Calibri"/>
          <w:b w:val="0"/>
          <w:i w:val="0"/>
          <w:color w:val="101010"/>
          <w:sz w:val="21"/>
        </w:rPr>
        <w:t>Visma is two things at once: our exit buyer and our competitor. Both are good. As exit buyer, they pay 10–14× EBITDA for cloud-integrated assets, which is our entire valuation thesis. As competitor, they do not bid for assets below €5M revenue / €1M EBITDA — that is precisely our sweet spot. We pick targets in their dead zone, build to their size threshold, then sell to them.</w:t>
      </w:r>
    </w:p>
    <w:p>
      <w:pPr>
        <w:spacing w:before="200" w:after="40"/>
      </w:pPr>
      <w:r>
        <w:rPr>
          <w:rFonts w:ascii="Calibri" w:hAnsi="Calibri"/>
          <w:b/>
          <w:color w:val="FF6B35"/>
          <w:sz w:val="23"/>
        </w:rPr>
        <w:t>Visma vs. Ledger — strategic positioning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984"/>
            <w:shd w:val="clear" w:color="auto" w:fill="1F3A5F"/>
            <w:vAlign w:val="center"/>
          </w:tcPr>
          <w:p>
            <w:r/>
            <w:r>
              <w:rPr>
                <w:rFonts w:ascii="Calibri" w:hAnsi="Calibri"/>
                <w:b/>
                <w:color w:val="FFFFFF"/>
                <w:sz w:val="20"/>
              </w:rPr>
              <w:t>Dimension</w:t>
            </w:r>
          </w:p>
        </w:tc>
        <w:tc>
          <w:tcPr>
            <w:tcW w:type="dxa" w:w="3402"/>
            <w:shd w:val="clear" w:color="auto" w:fill="1F3A5F"/>
            <w:vAlign w:val="center"/>
          </w:tcPr>
          <w:p>
            <w:r/>
            <w:r>
              <w:rPr>
                <w:rFonts w:ascii="Calibri" w:hAnsi="Calibri"/>
                <w:b/>
                <w:color w:val="FFFFFF"/>
                <w:sz w:val="20"/>
              </w:rPr>
              <w:t>Visma</w:t>
            </w:r>
          </w:p>
        </w:tc>
        <w:tc>
          <w:tcPr>
            <w:tcW w:type="dxa" w:w="3402"/>
            <w:shd w:val="clear" w:color="auto" w:fill="1F3A5F"/>
            <w:vAlign w:val="center"/>
          </w:tcPr>
          <w:p>
            <w:r/>
            <w:r>
              <w:rPr>
                <w:rFonts w:ascii="Calibri" w:hAnsi="Calibri"/>
                <w:b/>
                <w:color w:val="FFFFFF"/>
                <w:sz w:val="20"/>
              </w:rPr>
              <w:t>Ledger (us)</w:t>
            </w:r>
          </w:p>
        </w:tc>
      </w:tr>
      <w:tr>
        <w:tc>
          <w:tcPr>
            <w:tcW w:type="dxa" w:w="1984"/>
            <w:vAlign w:val="center"/>
          </w:tcPr>
          <w:p>
            <w:r/>
            <w:r>
              <w:rPr>
                <w:rFonts w:ascii="Calibri" w:hAnsi="Calibri"/>
                <w:sz w:val="19"/>
              </w:rPr>
              <w:t>Target size</w:t>
            </w:r>
          </w:p>
        </w:tc>
        <w:tc>
          <w:tcPr>
            <w:tcW w:type="dxa" w:w="3402"/>
            <w:vAlign w:val="center"/>
          </w:tcPr>
          <w:p>
            <w:r/>
            <w:r>
              <w:rPr>
                <w:rFonts w:ascii="Calibri" w:hAnsi="Calibri"/>
                <w:sz w:val="19"/>
              </w:rPr>
              <w:t>€5M+ revenue, €1M+ EBITDA</w:t>
            </w:r>
          </w:p>
        </w:tc>
        <w:tc>
          <w:tcPr>
            <w:tcW w:type="dxa" w:w="3402"/>
            <w:vAlign w:val="center"/>
          </w:tcPr>
          <w:p>
            <w:r/>
            <w:r>
              <w:rPr>
                <w:rFonts w:ascii="Calibri" w:hAnsi="Calibri"/>
                <w:sz w:val="19"/>
              </w:rPr>
              <w:t>€1–5M revenue, €0.2–1M EBITDA</w:t>
            </w:r>
          </w:p>
        </w:tc>
      </w:tr>
      <w:tr>
        <w:tc>
          <w:tcPr>
            <w:tcW w:type="dxa" w:w="1984"/>
            <w:shd w:val="clear" w:color="auto" w:fill="F4F6F9"/>
            <w:vAlign w:val="center"/>
          </w:tcPr>
          <w:p>
            <w:r/>
            <w:r>
              <w:rPr>
                <w:rFonts w:ascii="Calibri" w:hAnsi="Calibri"/>
                <w:sz w:val="19"/>
              </w:rPr>
              <w:t>Entry multiple</w:t>
            </w:r>
          </w:p>
        </w:tc>
        <w:tc>
          <w:tcPr>
            <w:tcW w:type="dxa" w:w="3402"/>
            <w:shd w:val="clear" w:color="auto" w:fill="F4F6F9"/>
            <w:vAlign w:val="center"/>
          </w:tcPr>
          <w:p>
            <w:r/>
            <w:r>
              <w:rPr>
                <w:rFonts w:ascii="Calibri" w:hAnsi="Calibri"/>
                <w:sz w:val="19"/>
              </w:rPr>
              <w:t>8–12× EBITDA</w:t>
            </w:r>
          </w:p>
        </w:tc>
        <w:tc>
          <w:tcPr>
            <w:tcW w:type="dxa" w:w="3402"/>
            <w:shd w:val="clear" w:color="auto" w:fill="F4F6F9"/>
            <w:vAlign w:val="center"/>
          </w:tcPr>
          <w:p>
            <w:r/>
            <w:r>
              <w:rPr>
                <w:rFonts w:ascii="Calibri" w:hAnsi="Calibri"/>
                <w:sz w:val="19"/>
              </w:rPr>
              <w:t>3.5–4.5× EBITDA</w:t>
            </w:r>
          </w:p>
        </w:tc>
      </w:tr>
      <w:tr>
        <w:tc>
          <w:tcPr>
            <w:tcW w:type="dxa" w:w="1984"/>
            <w:vAlign w:val="center"/>
          </w:tcPr>
          <w:p>
            <w:r/>
            <w:r>
              <w:rPr>
                <w:rFonts w:ascii="Calibri" w:hAnsi="Calibri"/>
                <w:sz w:val="19"/>
              </w:rPr>
              <w:t>Exit multiple</w:t>
            </w:r>
          </w:p>
        </w:tc>
        <w:tc>
          <w:tcPr>
            <w:tcW w:type="dxa" w:w="3402"/>
            <w:vAlign w:val="center"/>
          </w:tcPr>
          <w:p>
            <w:r/>
            <w:r>
              <w:rPr>
                <w:rFonts w:ascii="Calibri" w:hAnsi="Calibri"/>
                <w:sz w:val="19"/>
              </w:rPr>
              <w:t>14–18× EBITDA (re-rate)</w:t>
            </w:r>
          </w:p>
        </w:tc>
        <w:tc>
          <w:tcPr>
            <w:tcW w:type="dxa" w:w="3402"/>
            <w:vAlign w:val="center"/>
          </w:tcPr>
          <w:p>
            <w:r/>
            <w:r>
              <w:rPr>
                <w:rFonts w:ascii="Calibri" w:hAnsi="Calibri"/>
                <w:sz w:val="19"/>
              </w:rPr>
              <w:t>9–11× EBITDA (sale to Visma or larger PE)</w:t>
            </w:r>
          </w:p>
        </w:tc>
      </w:tr>
      <w:tr>
        <w:tc>
          <w:tcPr>
            <w:tcW w:type="dxa" w:w="1984"/>
            <w:shd w:val="clear" w:color="auto" w:fill="F4F6F9"/>
            <w:vAlign w:val="center"/>
          </w:tcPr>
          <w:p>
            <w:r/>
            <w:r>
              <w:rPr>
                <w:rFonts w:ascii="Calibri" w:hAnsi="Calibri"/>
                <w:sz w:val="19"/>
              </w:rPr>
              <w:t>M&amp;A volume</w:t>
            </w:r>
          </w:p>
        </w:tc>
        <w:tc>
          <w:tcPr>
            <w:tcW w:type="dxa" w:w="3402"/>
            <w:shd w:val="clear" w:color="auto" w:fill="F4F6F9"/>
            <w:vAlign w:val="center"/>
          </w:tcPr>
          <w:p>
            <w:r/>
            <w:r>
              <w:rPr>
                <w:rFonts w:ascii="Calibri" w:hAnsi="Calibri"/>
                <w:sz w:val="19"/>
              </w:rPr>
              <w:t>30–40 deals/yr globally</w:t>
            </w:r>
          </w:p>
        </w:tc>
        <w:tc>
          <w:tcPr>
            <w:tcW w:type="dxa" w:w="3402"/>
            <w:shd w:val="clear" w:color="auto" w:fill="F4F6F9"/>
            <w:vAlign w:val="center"/>
          </w:tcPr>
          <w:p>
            <w:r/>
            <w:r>
              <w:rPr>
                <w:rFonts w:ascii="Calibri" w:hAnsi="Calibri"/>
                <w:sz w:val="19"/>
              </w:rPr>
              <w:t>3–5 deals/yr concentrated PL/IT/CY</w:t>
            </w:r>
          </w:p>
        </w:tc>
      </w:tr>
      <w:tr>
        <w:tc>
          <w:tcPr>
            <w:tcW w:type="dxa" w:w="1984"/>
            <w:vAlign w:val="center"/>
          </w:tcPr>
          <w:p>
            <w:r/>
            <w:r>
              <w:rPr>
                <w:rFonts w:ascii="Calibri" w:hAnsi="Calibri"/>
                <w:sz w:val="19"/>
              </w:rPr>
              <w:t>Integration model</w:t>
            </w:r>
          </w:p>
        </w:tc>
        <w:tc>
          <w:tcPr>
            <w:tcW w:type="dxa" w:w="3402"/>
            <w:vAlign w:val="center"/>
          </w:tcPr>
          <w:p>
            <w:r/>
            <w:r>
              <w:rPr>
                <w:rFonts w:ascii="Calibri" w:hAnsi="Calibri"/>
                <w:sz w:val="19"/>
              </w:rPr>
              <w:t>Multi-year platform conv.</w:t>
            </w:r>
          </w:p>
        </w:tc>
        <w:tc>
          <w:tcPr>
            <w:tcW w:type="dxa" w:w="3402"/>
            <w:vAlign w:val="center"/>
          </w:tcPr>
          <w:p>
            <w:r/>
            <w:r>
              <w:rPr>
                <w:rFonts w:ascii="Calibri" w:hAnsi="Calibri"/>
                <w:sz w:val="19"/>
              </w:rPr>
              <w:t>Day-30 AI overlay, Day-180 platform</w:t>
            </w:r>
          </w:p>
        </w:tc>
      </w:tr>
      <w:tr>
        <w:tc>
          <w:tcPr>
            <w:tcW w:type="dxa" w:w="1984"/>
            <w:shd w:val="clear" w:color="auto" w:fill="F4F6F9"/>
            <w:vAlign w:val="center"/>
          </w:tcPr>
          <w:p>
            <w:r/>
            <w:r>
              <w:rPr>
                <w:rFonts w:ascii="Calibri" w:hAnsi="Calibri"/>
                <w:sz w:val="19"/>
              </w:rPr>
              <w:t>Capital</w:t>
            </w:r>
          </w:p>
        </w:tc>
        <w:tc>
          <w:tcPr>
            <w:tcW w:type="dxa" w:w="3402"/>
            <w:shd w:val="clear" w:color="auto" w:fill="F4F6F9"/>
            <w:vAlign w:val="center"/>
          </w:tcPr>
          <w:p>
            <w:r/>
            <w:r>
              <w:rPr>
                <w:rFonts w:ascii="Calibri" w:hAnsi="Calibri"/>
                <w:sz w:val="19"/>
              </w:rPr>
              <w:t>€20B+ EV, PE-backed</w:t>
            </w:r>
          </w:p>
        </w:tc>
        <w:tc>
          <w:tcPr>
            <w:tcW w:type="dxa" w:w="3402"/>
            <w:shd w:val="clear" w:color="auto" w:fill="F4F6F9"/>
            <w:vAlign w:val="center"/>
          </w:tcPr>
          <w:p>
            <w:r/>
            <w:r>
              <w:rPr>
                <w:rFonts w:ascii="Calibri" w:hAnsi="Calibri"/>
                <w:sz w:val="19"/>
              </w:rPr>
              <w:t>€7M raised through Series A</w:t>
            </w:r>
          </w:p>
        </w:tc>
      </w:tr>
      <w:tr>
        <w:tc>
          <w:tcPr>
            <w:tcW w:type="dxa" w:w="1984"/>
            <w:vAlign w:val="center"/>
          </w:tcPr>
          <w:p>
            <w:r/>
            <w:r>
              <w:rPr>
                <w:rFonts w:ascii="Calibri" w:hAnsi="Calibri"/>
                <w:sz w:val="19"/>
              </w:rPr>
              <w:t>Verticals</w:t>
            </w:r>
          </w:p>
        </w:tc>
        <w:tc>
          <w:tcPr>
            <w:tcW w:type="dxa" w:w="3402"/>
            <w:vAlign w:val="center"/>
          </w:tcPr>
          <w:p>
            <w:r/>
            <w:r>
              <w:rPr>
                <w:rFonts w:ascii="Calibri" w:hAnsi="Calibri"/>
                <w:sz w:val="19"/>
              </w:rPr>
              <w:t>Accounting, payroll, HR, public</w:t>
            </w:r>
          </w:p>
        </w:tc>
        <w:tc>
          <w:tcPr>
            <w:tcW w:type="dxa" w:w="3402"/>
            <w:vAlign w:val="center"/>
          </w:tcPr>
          <w:p>
            <w:r/>
            <w:r>
              <w:rPr>
                <w:rFonts w:ascii="Calibri" w:hAnsi="Calibri"/>
                <w:sz w:val="19"/>
              </w:rPr>
              <w:t>Accounting only (focus)</w:t>
            </w:r>
          </w:p>
        </w:tc>
      </w:tr>
      <w:tr>
        <w:tc>
          <w:tcPr>
            <w:tcW w:type="dxa" w:w="1984"/>
            <w:shd w:val="clear" w:color="auto" w:fill="F4F6F9"/>
            <w:vAlign w:val="center"/>
          </w:tcPr>
          <w:p>
            <w:r/>
            <w:r>
              <w:rPr>
                <w:rFonts w:ascii="Calibri" w:hAnsi="Calibri"/>
                <w:sz w:val="19"/>
              </w:rPr>
              <w:t>Geography</w:t>
            </w:r>
          </w:p>
        </w:tc>
        <w:tc>
          <w:tcPr>
            <w:tcW w:type="dxa" w:w="3402"/>
            <w:shd w:val="clear" w:color="auto" w:fill="F4F6F9"/>
            <w:vAlign w:val="center"/>
          </w:tcPr>
          <w:p>
            <w:r/>
            <w:r>
              <w:rPr>
                <w:rFonts w:ascii="Calibri" w:hAnsi="Calibri"/>
                <w:sz w:val="19"/>
              </w:rPr>
              <w:t>Nordic + DACH + Iberia + Italy</w:t>
            </w:r>
          </w:p>
        </w:tc>
        <w:tc>
          <w:tcPr>
            <w:tcW w:type="dxa" w:w="3402"/>
            <w:shd w:val="clear" w:color="auto" w:fill="F4F6F9"/>
            <w:vAlign w:val="center"/>
          </w:tcPr>
          <w:p>
            <w:r/>
            <w:r>
              <w:rPr>
                <w:rFonts w:ascii="Calibri" w:hAnsi="Calibri"/>
                <w:sz w:val="19"/>
              </w:rPr>
              <w:t>Poland, Italy, Cyprus</w:t>
            </w:r>
          </w:p>
        </w:tc>
      </w:tr>
    </w:tbl>
    <w:p>
      <w:r>
        <w:br w:type="page"/>
      </w:r>
    </w:p>
    <w:p>
      <w:pPr>
        <w:spacing w:before="360" w:after="120"/>
      </w:pPr>
      <w:r>
        <w:rPr>
          <w:rFonts w:ascii="Calibri" w:hAnsi="Calibri"/>
          <w:b/>
          <w:color w:val="1F3A5F"/>
          <w:sz w:val="40"/>
        </w:rPr>
        <w:t>3. Strategic Thesis</w:t>
      </w:r>
    </w:p>
    <w:p>
      <w:pPr>
        <w:spacing w:before="280" w:after="80"/>
      </w:pPr>
      <w:r>
        <w:rPr>
          <w:rFonts w:ascii="Calibri" w:hAnsi="Calibri"/>
          <w:b/>
          <w:color w:val="1F3A5F"/>
          <w:sz w:val="28"/>
        </w:rPr>
        <w:t>3.1  The math: why a roll-up beats organic growth</w:t>
      </w:r>
    </w:p>
    <w:p>
      <w:pPr>
        <w:spacing w:after="80" w:line="300" w:lineRule="auto"/>
      </w:pPr>
      <w:r>
        <w:rPr>
          <w:rFonts w:ascii="Calibri" w:hAnsi="Calibri"/>
          <w:b w:val="0"/>
          <w:i w:val="0"/>
          <w:color w:val="101010"/>
          <w:sz w:val="21"/>
        </w:rPr>
        <w:t>An organic AI-accounting SaaS in our geographies needs €4–6M of S&amp;M spend and 30+ months to reach €5M ARR. The same €5M of recurring revenue can be acquired in 18 months by buying 3–4 practices at €1.5–2M revenue each, at a blended multiple of 4× EBITDA on a 20% margin. Math: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84"/>
            <w:shd w:val="clear" w:color="auto" w:fill="1F3A5F"/>
            <w:vAlign w:val="center"/>
          </w:tcPr>
          <w:p>
            <w:r/>
            <w:r>
              <w:rPr>
                <w:rFonts w:ascii="Calibri" w:hAnsi="Calibri"/>
                <w:b/>
                <w:color w:val="FFFFFF"/>
                <w:sz w:val="20"/>
              </w:rPr>
              <w:t>Path</w:t>
            </w:r>
          </w:p>
        </w:tc>
        <w:tc>
          <w:tcPr>
            <w:tcW w:type="dxa" w:w="1984"/>
            <w:shd w:val="clear" w:color="auto" w:fill="1F3A5F"/>
            <w:vAlign w:val="center"/>
          </w:tcPr>
          <w:p>
            <w:r/>
            <w:r>
              <w:rPr>
                <w:rFonts w:ascii="Calibri" w:hAnsi="Calibri"/>
                <w:b/>
                <w:color w:val="FFFFFF"/>
                <w:sz w:val="20"/>
              </w:rPr>
              <w:t>Time to €5M rev</w:t>
            </w:r>
          </w:p>
        </w:tc>
        <w:tc>
          <w:tcPr>
            <w:tcW w:type="dxa" w:w="1984"/>
            <w:shd w:val="clear" w:color="auto" w:fill="1F3A5F"/>
            <w:vAlign w:val="center"/>
          </w:tcPr>
          <w:p>
            <w:r/>
            <w:r>
              <w:rPr>
                <w:rFonts w:ascii="Calibri" w:hAnsi="Calibri"/>
                <w:b/>
                <w:color w:val="FFFFFF"/>
                <w:sz w:val="20"/>
              </w:rPr>
              <w:t>Cumulative cash needed</w:t>
            </w:r>
          </w:p>
        </w:tc>
        <w:tc>
          <w:tcPr>
            <w:tcW w:type="dxa" w:w="1701"/>
            <w:shd w:val="clear" w:color="auto" w:fill="1F3A5F"/>
            <w:vAlign w:val="center"/>
          </w:tcPr>
          <w:p>
            <w:r/>
            <w:r>
              <w:rPr>
                <w:rFonts w:ascii="Calibri" w:hAnsi="Calibri"/>
                <w:b/>
                <w:color w:val="FFFFFF"/>
                <w:sz w:val="20"/>
              </w:rPr>
              <w:t>Year-2 EBITDA</w:t>
            </w:r>
          </w:p>
        </w:tc>
        <w:tc>
          <w:tcPr>
            <w:tcW w:type="dxa" w:w="2268"/>
            <w:shd w:val="clear" w:color="auto" w:fill="1F3A5F"/>
            <w:vAlign w:val="center"/>
          </w:tcPr>
          <w:p>
            <w:r/>
            <w:r>
              <w:rPr>
                <w:rFonts w:ascii="Calibri" w:hAnsi="Calibri"/>
                <w:b/>
                <w:color w:val="FFFFFF"/>
                <w:sz w:val="20"/>
              </w:rPr>
              <w:t>Year-2 EV @ exit mult.</w:t>
            </w:r>
          </w:p>
        </w:tc>
      </w:tr>
      <w:tr>
        <w:tc>
          <w:tcPr>
            <w:tcW w:type="dxa" w:w="1984"/>
            <w:vAlign w:val="center"/>
          </w:tcPr>
          <w:p>
            <w:r/>
            <w:r>
              <w:rPr>
                <w:rFonts w:ascii="Calibri" w:hAnsi="Calibri"/>
                <w:sz w:val="19"/>
              </w:rPr>
              <w:t>Organic SaaS</w:t>
            </w:r>
          </w:p>
        </w:tc>
        <w:tc>
          <w:tcPr>
            <w:tcW w:type="dxa" w:w="1984"/>
            <w:vAlign w:val="center"/>
          </w:tcPr>
          <w:p>
            <w:r/>
            <w:r>
              <w:rPr>
                <w:rFonts w:ascii="Calibri" w:hAnsi="Calibri"/>
                <w:sz w:val="19"/>
              </w:rPr>
              <w:t>30–36 months</w:t>
            </w:r>
          </w:p>
        </w:tc>
        <w:tc>
          <w:tcPr>
            <w:tcW w:type="dxa" w:w="1984"/>
            <w:vAlign w:val="center"/>
          </w:tcPr>
          <w:p>
            <w:r/>
            <w:r>
              <w:rPr>
                <w:rFonts w:ascii="Calibri" w:hAnsi="Calibri"/>
                <w:sz w:val="19"/>
              </w:rPr>
              <w:t>€5.5M S&amp;M + €1M G&amp;A</w:t>
            </w:r>
          </w:p>
        </w:tc>
        <w:tc>
          <w:tcPr>
            <w:tcW w:type="dxa" w:w="1701"/>
            <w:vAlign w:val="center"/>
          </w:tcPr>
          <w:p>
            <w:r/>
            <w:r>
              <w:rPr>
                <w:rFonts w:ascii="Calibri" w:hAnsi="Calibri"/>
                <w:sz w:val="19"/>
              </w:rPr>
              <w:t>−€1.5M (still investing)</w:t>
            </w:r>
          </w:p>
        </w:tc>
        <w:tc>
          <w:tcPr>
            <w:tcW w:type="dxa" w:w="2268"/>
            <w:vAlign w:val="center"/>
          </w:tcPr>
          <w:p>
            <w:r/>
            <w:r>
              <w:rPr>
                <w:rFonts w:ascii="Calibri" w:hAnsi="Calibri"/>
                <w:sz w:val="19"/>
              </w:rPr>
              <w:t>€20M (5× ARR multiple)</w:t>
            </w:r>
          </w:p>
        </w:tc>
      </w:tr>
      <w:tr>
        <w:tc>
          <w:tcPr>
            <w:tcW w:type="dxa" w:w="1984"/>
            <w:shd w:val="clear" w:color="auto" w:fill="F4F6F9"/>
            <w:vAlign w:val="center"/>
          </w:tcPr>
          <w:p>
            <w:r/>
            <w:r>
              <w:rPr>
                <w:rFonts w:ascii="Calibri" w:hAnsi="Calibri"/>
                <w:sz w:val="19"/>
              </w:rPr>
              <w:t>Ledger roll-up</w:t>
            </w:r>
          </w:p>
        </w:tc>
        <w:tc>
          <w:tcPr>
            <w:tcW w:type="dxa" w:w="1984"/>
            <w:shd w:val="clear" w:color="auto" w:fill="F4F6F9"/>
            <w:vAlign w:val="center"/>
          </w:tcPr>
          <w:p>
            <w:r/>
            <w:r>
              <w:rPr>
                <w:rFonts w:ascii="Calibri" w:hAnsi="Calibri"/>
                <w:sz w:val="19"/>
              </w:rPr>
              <w:t>14–18 months</w:t>
            </w:r>
          </w:p>
        </w:tc>
        <w:tc>
          <w:tcPr>
            <w:tcW w:type="dxa" w:w="1984"/>
            <w:shd w:val="clear" w:color="auto" w:fill="F4F6F9"/>
            <w:vAlign w:val="center"/>
          </w:tcPr>
          <w:p>
            <w:r/>
            <w:r>
              <w:rPr>
                <w:rFonts w:ascii="Calibri" w:hAnsi="Calibri"/>
                <w:sz w:val="19"/>
              </w:rPr>
              <w:t>€5.5M M&amp;A + €0.7M G&amp;A</w:t>
            </w:r>
          </w:p>
        </w:tc>
        <w:tc>
          <w:tcPr>
            <w:tcW w:type="dxa" w:w="1701"/>
            <w:shd w:val="clear" w:color="auto" w:fill="F4F6F9"/>
            <w:vAlign w:val="center"/>
          </w:tcPr>
          <w:p>
            <w:r/>
            <w:r>
              <w:rPr>
                <w:rFonts w:ascii="Calibri" w:hAnsi="Calibri"/>
                <w:sz w:val="19"/>
              </w:rPr>
              <w:t>€1.0M (already profitable)</w:t>
            </w:r>
          </w:p>
        </w:tc>
        <w:tc>
          <w:tcPr>
            <w:tcW w:type="dxa" w:w="2268"/>
            <w:shd w:val="clear" w:color="auto" w:fill="F4F6F9"/>
            <w:vAlign w:val="center"/>
          </w:tcPr>
          <w:p>
            <w:r/>
            <w:r>
              <w:rPr>
                <w:rFonts w:ascii="Calibri" w:hAnsi="Calibri"/>
                <w:sz w:val="19"/>
              </w:rPr>
              <w:t>€9–11M (10× EBITDA)</w:t>
            </w:r>
          </w:p>
        </w:tc>
      </w:tr>
      <w:tr>
        <w:tc>
          <w:tcPr>
            <w:tcW w:type="dxa" w:w="1984"/>
            <w:vAlign w:val="center"/>
          </w:tcPr>
          <w:p>
            <w:r/>
            <w:r>
              <w:rPr>
                <w:rFonts w:ascii="Calibri" w:hAnsi="Calibri"/>
                <w:sz w:val="19"/>
              </w:rPr>
              <w:t>Ledger + AI overlay</w:t>
            </w:r>
          </w:p>
        </w:tc>
        <w:tc>
          <w:tcPr>
            <w:tcW w:type="dxa" w:w="1984"/>
            <w:vAlign w:val="center"/>
          </w:tcPr>
          <w:p>
            <w:r/>
            <w:r>
              <w:rPr>
                <w:rFonts w:ascii="Calibri" w:hAnsi="Calibri"/>
                <w:sz w:val="19"/>
              </w:rPr>
              <w:t>14–18 months + 12 month integration</w:t>
            </w:r>
          </w:p>
        </w:tc>
        <w:tc>
          <w:tcPr>
            <w:tcW w:type="dxa" w:w="1984"/>
            <w:vAlign w:val="center"/>
          </w:tcPr>
          <w:p>
            <w:r/>
            <w:r>
              <w:rPr>
                <w:rFonts w:ascii="Calibri" w:hAnsi="Calibri"/>
                <w:sz w:val="19"/>
              </w:rPr>
              <w:t>€6.2M M&amp;A + AI capex</w:t>
            </w:r>
          </w:p>
        </w:tc>
        <w:tc>
          <w:tcPr>
            <w:tcW w:type="dxa" w:w="1701"/>
            <w:vAlign w:val="center"/>
          </w:tcPr>
          <w:p>
            <w:r/>
            <w:r>
              <w:rPr>
                <w:rFonts w:ascii="Calibri" w:hAnsi="Calibri"/>
                <w:sz w:val="19"/>
              </w:rPr>
              <w:t>€1.6M (margin expansion)</w:t>
            </w:r>
          </w:p>
        </w:tc>
        <w:tc>
          <w:tcPr>
            <w:tcW w:type="dxa" w:w="2268"/>
            <w:vAlign w:val="center"/>
          </w:tcPr>
          <w:p>
            <w:r/>
            <w:r>
              <w:rPr>
                <w:rFonts w:ascii="Calibri" w:hAnsi="Calibri"/>
                <w:sz w:val="19"/>
              </w:rPr>
              <w:t>€16–22M (10× EBITDA)</w:t>
            </w:r>
          </w:p>
        </w:tc>
      </w:tr>
    </w:tbl>
    <w:p>
      <w:pPr>
        <w:spacing w:after="80" w:line="300" w:lineRule="auto"/>
      </w:pPr>
      <w:r>
        <w:rPr>
          <w:rFonts w:ascii="Calibri" w:hAnsi="Calibri"/>
          <w:b w:val="0"/>
          <w:i/>
          <w:color w:val="101010"/>
          <w:sz w:val="21"/>
        </w:rPr>
        <w:t>The AI overlay is the multiplier. Without it we are just doing leveraged buyouts at small ticket — a viable business but not a re-ratable platform. With it, every acquired euro of EBITDA expands 30–45% in the 12 months after platform migration, and re-rates from "small services" to "SaaS-flavoured services" at exit.</w:t>
      </w:r>
    </w:p>
    <w:p>
      <w:pPr>
        <w:spacing w:before="280" w:after="80"/>
      </w:pPr>
      <w:r>
        <w:rPr>
          <w:rFonts w:ascii="Calibri" w:hAnsi="Calibri"/>
          <w:b/>
          <w:color w:val="1F3A5F"/>
          <w:sz w:val="28"/>
        </w:rPr>
        <w:t>3.2  Three pillars</w:t>
      </w:r>
    </w:p>
    <w:p>
      <w:pPr>
        <w:spacing w:before="200" w:after="40"/>
      </w:pPr>
      <w:r>
        <w:rPr>
          <w:rFonts w:ascii="Calibri" w:hAnsi="Calibri"/>
          <w:b/>
          <w:color w:val="FF6B35"/>
          <w:sz w:val="23"/>
        </w:rPr>
        <w:t>Pillar 1 — Acquire profit</w:t>
      </w:r>
    </w:p>
    <w:p>
      <w:pPr>
        <w:spacing w:after="80" w:line="300" w:lineRule="auto"/>
      </w:pPr>
      <w:r>
        <w:rPr>
          <w:rFonts w:ascii="Calibri" w:hAnsi="Calibri"/>
          <w:b w:val="0"/>
          <w:i w:val="0"/>
          <w:color w:val="101010"/>
          <w:sz w:val="21"/>
        </w:rPr>
        <w:t>We buy €1–5M revenue practices at 3.5–4.5× LTM EBITDA, 80% cash / 20% earnout over 24 months, with 12-month seller-stays. We do not buy unprofitable practices, ever. We do not buy auditors (regulatory) or pure tax-advisory (different multiple), only general-ledger / bookkeeping / payroll practices.</w:t>
      </w:r>
    </w:p>
    <w:p>
      <w:pPr>
        <w:spacing w:before="200" w:after="40"/>
      </w:pPr>
      <w:r>
        <w:rPr>
          <w:rFonts w:ascii="Calibri" w:hAnsi="Calibri"/>
          <w:b/>
          <w:color w:val="FF6B35"/>
          <w:sz w:val="23"/>
        </w:rPr>
        <w:t>Pillar 2 — Overlay AI</w:t>
      </w:r>
    </w:p>
    <w:p>
      <w:pPr>
        <w:spacing w:after="80" w:line="300" w:lineRule="auto"/>
      </w:pPr>
      <w:r>
        <w:rPr>
          <w:rFonts w:ascii="Calibri" w:hAnsi="Calibri"/>
          <w:b w:val="0"/>
          <w:i w:val="0"/>
          <w:color w:val="101010"/>
          <w:sz w:val="21"/>
        </w:rPr>
        <w:t>Within 90 days of close we deploy: (1) OCR + classification on inbound invoices, (2) auto-reconciliation against bank feeds, (3) draft-VAT / IRPF / CIT / KSeF / SdI submissions, (4) anomaly flagging and management-reporting dashboards. Vendor stack: combination of best-of-breed (Holded, Comarch Optima, Fakturownia for PL; TeamSystem for IT; LIVS for CY) with a thin in-house orchestration layer using OpenAI / Anthropic + Document Intelligence.</w:t>
      </w:r>
    </w:p>
    <w:p>
      <w:pPr>
        <w:spacing w:before="200" w:after="40"/>
      </w:pPr>
      <w:r>
        <w:rPr>
          <w:rFonts w:ascii="Calibri" w:hAnsi="Calibri"/>
          <w:b/>
          <w:color w:val="FF6B35"/>
          <w:sz w:val="23"/>
        </w:rPr>
        <w:t>Pillar 3 — Platform and exit</w:t>
      </w:r>
    </w:p>
    <w:p>
      <w:pPr>
        <w:spacing w:after="80" w:line="300" w:lineRule="auto"/>
      </w:pPr>
      <w:r>
        <w:rPr>
          <w:rFonts w:ascii="Calibri" w:hAnsi="Calibri"/>
          <w:b w:val="0"/>
          <w:i w:val="0"/>
          <w:color w:val="101010"/>
          <w:sz w:val="21"/>
        </w:rPr>
        <w:t>After 18 months of operation across 4–6 acquired practices, we migrate the customer book onto a unified Ledger platform (white-labelled to each acquired brand). By month 36 we have €25–35M revenue, €8–11M EBITDA, multi-country, AI-enabled — exactly the asset profile Visma / EQT / Hg / Vista pay 10–14× EBITDA for.</w:t>
      </w:r>
    </w:p>
    <w:p>
      <w:r>
        <w:br w:type="page"/>
      </w:r>
    </w:p>
    <w:p>
      <w:pPr>
        <w:spacing w:before="360" w:after="120"/>
      </w:pPr>
      <w:r>
        <w:rPr>
          <w:rFonts w:ascii="Calibri" w:hAnsi="Calibri"/>
          <w:b/>
          <w:color w:val="1F3A5F"/>
          <w:sz w:val="40"/>
        </w:rPr>
        <w:t>4. Market Selection — Poland, Italy, Cyprus</w:t>
      </w:r>
    </w:p>
    <w:p>
      <w:pPr>
        <w:spacing w:before="280" w:after="80"/>
      </w:pPr>
      <w:r>
        <w:rPr>
          <w:rFonts w:ascii="Calibri" w:hAnsi="Calibri"/>
          <w:b/>
          <w:color w:val="1F3A5F"/>
          <w:sz w:val="28"/>
        </w:rPr>
        <w:t>4.1  Country scorecard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154"/>
            <w:shd w:val="clear" w:color="auto" w:fill="1F3A5F"/>
            <w:vAlign w:val="center"/>
          </w:tcPr>
          <w:p>
            <w:r/>
            <w:r>
              <w:rPr>
                <w:rFonts w:ascii="Calibri" w:hAnsi="Calibri"/>
                <w:b/>
                <w:color w:val="FFFFFF"/>
                <w:sz w:val="20"/>
              </w:rPr>
              <w:t>Criterion</w:t>
            </w:r>
          </w:p>
        </w:tc>
        <w:tc>
          <w:tcPr>
            <w:tcW w:type="dxa" w:w="2268"/>
            <w:shd w:val="clear" w:color="auto" w:fill="1F3A5F"/>
            <w:vAlign w:val="center"/>
          </w:tcPr>
          <w:p>
            <w:r/>
            <w:r>
              <w:rPr>
                <w:rFonts w:ascii="Calibri" w:hAnsi="Calibri"/>
                <w:b/>
                <w:color w:val="FFFFFF"/>
                <w:sz w:val="20"/>
              </w:rPr>
              <w:t>Poland</w:t>
            </w:r>
          </w:p>
        </w:tc>
        <w:tc>
          <w:tcPr>
            <w:tcW w:type="dxa" w:w="2268"/>
            <w:shd w:val="clear" w:color="auto" w:fill="1F3A5F"/>
            <w:vAlign w:val="center"/>
          </w:tcPr>
          <w:p>
            <w:r/>
            <w:r>
              <w:rPr>
                <w:rFonts w:ascii="Calibri" w:hAnsi="Calibri"/>
                <w:b/>
                <w:color w:val="FFFFFF"/>
                <w:sz w:val="20"/>
              </w:rPr>
              <w:t>Italy</w:t>
            </w:r>
          </w:p>
        </w:tc>
        <w:tc>
          <w:tcPr>
            <w:tcW w:type="dxa" w:w="2268"/>
            <w:shd w:val="clear" w:color="auto" w:fill="1F3A5F"/>
            <w:vAlign w:val="center"/>
          </w:tcPr>
          <w:p>
            <w:r/>
            <w:r>
              <w:rPr>
                <w:rFonts w:ascii="Calibri" w:hAnsi="Calibri"/>
                <w:b/>
                <w:color w:val="FFFFFF"/>
                <w:sz w:val="20"/>
              </w:rPr>
              <w:t>Cyprus</w:t>
            </w:r>
          </w:p>
        </w:tc>
      </w:tr>
      <w:tr>
        <w:tc>
          <w:tcPr>
            <w:tcW w:type="dxa" w:w="2154"/>
            <w:vAlign w:val="center"/>
          </w:tcPr>
          <w:p>
            <w:r/>
            <w:r>
              <w:rPr>
                <w:rFonts w:ascii="Calibri" w:hAnsi="Calibri"/>
                <w:sz w:val="19"/>
              </w:rPr>
              <w:t>SMB count (formal)</w:t>
            </w:r>
          </w:p>
        </w:tc>
        <w:tc>
          <w:tcPr>
            <w:tcW w:type="dxa" w:w="2268"/>
            <w:vAlign w:val="center"/>
          </w:tcPr>
          <w:p>
            <w:r/>
            <w:r>
              <w:rPr>
                <w:rFonts w:ascii="Calibri" w:hAnsi="Calibri"/>
                <w:sz w:val="19"/>
              </w:rPr>
              <w:t>~2.6M</w:t>
            </w:r>
          </w:p>
        </w:tc>
        <w:tc>
          <w:tcPr>
            <w:tcW w:type="dxa" w:w="2268"/>
            <w:vAlign w:val="center"/>
          </w:tcPr>
          <w:p>
            <w:r/>
            <w:r>
              <w:rPr>
                <w:rFonts w:ascii="Calibri" w:hAnsi="Calibri"/>
                <w:sz w:val="19"/>
              </w:rPr>
              <w:t>~4.1M</w:t>
            </w:r>
          </w:p>
        </w:tc>
        <w:tc>
          <w:tcPr>
            <w:tcW w:type="dxa" w:w="2268"/>
            <w:vAlign w:val="center"/>
          </w:tcPr>
          <w:p>
            <w:r/>
            <w:r>
              <w:rPr>
                <w:rFonts w:ascii="Calibri" w:hAnsi="Calibri"/>
                <w:sz w:val="19"/>
              </w:rPr>
              <w:t>~95K</w:t>
            </w:r>
          </w:p>
        </w:tc>
      </w:tr>
      <w:tr>
        <w:tc>
          <w:tcPr>
            <w:tcW w:type="dxa" w:w="2154"/>
            <w:shd w:val="clear" w:color="auto" w:fill="F4F6F9"/>
            <w:vAlign w:val="center"/>
          </w:tcPr>
          <w:p>
            <w:r/>
            <w:r>
              <w:rPr>
                <w:rFonts w:ascii="Calibri" w:hAnsi="Calibri"/>
                <w:sz w:val="19"/>
              </w:rPr>
              <w:t>Bookkeeping practices (sub-€2M)</w:t>
            </w:r>
          </w:p>
        </w:tc>
        <w:tc>
          <w:tcPr>
            <w:tcW w:type="dxa" w:w="2268"/>
            <w:shd w:val="clear" w:color="auto" w:fill="F4F6F9"/>
            <w:vAlign w:val="center"/>
          </w:tcPr>
          <w:p>
            <w:r/>
            <w:r>
              <w:rPr>
                <w:rFonts w:ascii="Calibri" w:hAnsi="Calibri"/>
                <w:sz w:val="19"/>
              </w:rPr>
              <w:t>~8,500</w:t>
            </w:r>
          </w:p>
        </w:tc>
        <w:tc>
          <w:tcPr>
            <w:tcW w:type="dxa" w:w="2268"/>
            <w:shd w:val="clear" w:color="auto" w:fill="F4F6F9"/>
            <w:vAlign w:val="center"/>
          </w:tcPr>
          <w:p>
            <w:r/>
            <w:r>
              <w:rPr>
                <w:rFonts w:ascii="Calibri" w:hAnsi="Calibri"/>
                <w:sz w:val="19"/>
              </w:rPr>
              <w:t>~2,800</w:t>
            </w:r>
          </w:p>
        </w:tc>
        <w:tc>
          <w:tcPr>
            <w:tcW w:type="dxa" w:w="2268"/>
            <w:shd w:val="clear" w:color="auto" w:fill="F4F6F9"/>
            <w:vAlign w:val="center"/>
          </w:tcPr>
          <w:p>
            <w:r/>
            <w:r>
              <w:rPr>
                <w:rFonts w:ascii="Calibri" w:hAnsi="Calibri"/>
                <w:sz w:val="19"/>
              </w:rPr>
              <w:t>~250</w:t>
            </w:r>
          </w:p>
        </w:tc>
      </w:tr>
      <w:tr>
        <w:tc>
          <w:tcPr>
            <w:tcW w:type="dxa" w:w="2154"/>
            <w:vAlign w:val="center"/>
          </w:tcPr>
          <w:p>
            <w:r/>
            <w:r>
              <w:rPr>
                <w:rFonts w:ascii="Calibri" w:hAnsi="Calibri"/>
                <w:sz w:val="19"/>
              </w:rPr>
              <w:t>Avg practice EBITDA margin</w:t>
            </w:r>
          </w:p>
        </w:tc>
        <w:tc>
          <w:tcPr>
            <w:tcW w:type="dxa" w:w="2268"/>
            <w:vAlign w:val="center"/>
          </w:tcPr>
          <w:p>
            <w:r/>
            <w:r>
              <w:rPr>
                <w:rFonts w:ascii="Calibri" w:hAnsi="Calibri"/>
                <w:sz w:val="19"/>
              </w:rPr>
              <w:t>18–22%</w:t>
            </w:r>
          </w:p>
        </w:tc>
        <w:tc>
          <w:tcPr>
            <w:tcW w:type="dxa" w:w="2268"/>
            <w:vAlign w:val="center"/>
          </w:tcPr>
          <w:p>
            <w:r/>
            <w:r>
              <w:rPr>
                <w:rFonts w:ascii="Calibri" w:hAnsi="Calibri"/>
                <w:sz w:val="19"/>
              </w:rPr>
              <w:t>15–18%</w:t>
            </w:r>
          </w:p>
        </w:tc>
        <w:tc>
          <w:tcPr>
            <w:tcW w:type="dxa" w:w="2268"/>
            <w:vAlign w:val="center"/>
          </w:tcPr>
          <w:p>
            <w:r/>
            <w:r>
              <w:rPr>
                <w:rFonts w:ascii="Calibri" w:hAnsi="Calibri"/>
                <w:sz w:val="19"/>
              </w:rPr>
              <w:t>20–25%</w:t>
            </w:r>
          </w:p>
        </w:tc>
      </w:tr>
      <w:tr>
        <w:tc>
          <w:tcPr>
            <w:tcW w:type="dxa" w:w="2154"/>
            <w:shd w:val="clear" w:color="auto" w:fill="F4F6F9"/>
            <w:vAlign w:val="center"/>
          </w:tcPr>
          <w:p>
            <w:r/>
            <w:r>
              <w:rPr>
                <w:rFonts w:ascii="Calibri" w:hAnsi="Calibri"/>
                <w:sz w:val="19"/>
              </w:rPr>
              <w:t>Typical entry multiple</w:t>
            </w:r>
          </w:p>
        </w:tc>
        <w:tc>
          <w:tcPr>
            <w:tcW w:type="dxa" w:w="2268"/>
            <w:shd w:val="clear" w:color="auto" w:fill="F4F6F9"/>
            <w:vAlign w:val="center"/>
          </w:tcPr>
          <w:p>
            <w:r/>
            <w:r>
              <w:rPr>
                <w:rFonts w:ascii="Calibri" w:hAnsi="Calibri"/>
                <w:sz w:val="19"/>
              </w:rPr>
              <w:t>3.5–4.0× EBITDA</w:t>
            </w:r>
          </w:p>
        </w:tc>
        <w:tc>
          <w:tcPr>
            <w:tcW w:type="dxa" w:w="2268"/>
            <w:shd w:val="clear" w:color="auto" w:fill="F4F6F9"/>
            <w:vAlign w:val="center"/>
          </w:tcPr>
          <w:p>
            <w:r/>
            <w:r>
              <w:rPr>
                <w:rFonts w:ascii="Calibri" w:hAnsi="Calibri"/>
                <w:sz w:val="19"/>
              </w:rPr>
              <w:t>5.0–6.0× EBITDA</w:t>
            </w:r>
          </w:p>
        </w:tc>
        <w:tc>
          <w:tcPr>
            <w:tcW w:type="dxa" w:w="2268"/>
            <w:shd w:val="clear" w:color="auto" w:fill="F4F6F9"/>
            <w:vAlign w:val="center"/>
          </w:tcPr>
          <w:p>
            <w:r/>
            <w:r>
              <w:rPr>
                <w:rFonts w:ascii="Calibri" w:hAnsi="Calibri"/>
                <w:sz w:val="19"/>
              </w:rPr>
              <w:t>4.5–5.5× EBITDA</w:t>
            </w:r>
          </w:p>
        </w:tc>
      </w:tr>
      <w:tr>
        <w:tc>
          <w:tcPr>
            <w:tcW w:type="dxa" w:w="2154"/>
            <w:vAlign w:val="center"/>
          </w:tcPr>
          <w:p>
            <w:r/>
            <w:r>
              <w:rPr>
                <w:rFonts w:ascii="Calibri" w:hAnsi="Calibri"/>
                <w:sz w:val="19"/>
              </w:rPr>
              <w:t>E-invoicing mandate</w:t>
            </w:r>
          </w:p>
        </w:tc>
        <w:tc>
          <w:tcPr>
            <w:tcW w:type="dxa" w:w="2268"/>
            <w:vAlign w:val="center"/>
          </w:tcPr>
          <w:p>
            <w:r/>
            <w:r>
              <w:rPr>
                <w:rFonts w:ascii="Calibri" w:hAnsi="Calibri"/>
                <w:sz w:val="19"/>
              </w:rPr>
              <w:t>KSeF — Feb 2026 (large), 2027 (all)</w:t>
            </w:r>
          </w:p>
        </w:tc>
        <w:tc>
          <w:tcPr>
            <w:tcW w:type="dxa" w:w="2268"/>
            <w:vAlign w:val="center"/>
          </w:tcPr>
          <w:p>
            <w:r/>
            <w:r>
              <w:rPr>
                <w:rFonts w:ascii="Calibri" w:hAnsi="Calibri"/>
                <w:sz w:val="19"/>
              </w:rPr>
              <w:t>SdI — live since 2019 (universal)</w:t>
            </w:r>
          </w:p>
        </w:tc>
        <w:tc>
          <w:tcPr>
            <w:tcW w:type="dxa" w:w="2268"/>
            <w:vAlign w:val="center"/>
          </w:tcPr>
          <w:p>
            <w:r/>
            <w:r>
              <w:rPr>
                <w:rFonts w:ascii="Calibri" w:hAnsi="Calibri"/>
                <w:sz w:val="19"/>
              </w:rPr>
              <w:t>Voluntary; EU ViDA from 2030</w:t>
            </w:r>
          </w:p>
        </w:tc>
      </w:tr>
      <w:tr>
        <w:tc>
          <w:tcPr>
            <w:tcW w:type="dxa" w:w="2154"/>
            <w:shd w:val="clear" w:color="auto" w:fill="F4F6F9"/>
            <w:vAlign w:val="center"/>
          </w:tcPr>
          <w:p>
            <w:r/>
            <w:r>
              <w:rPr>
                <w:rFonts w:ascii="Calibri" w:hAnsi="Calibri"/>
                <w:sz w:val="19"/>
              </w:rPr>
              <w:t>Local AI-accounting incumbent</w:t>
            </w:r>
          </w:p>
        </w:tc>
        <w:tc>
          <w:tcPr>
            <w:tcW w:type="dxa" w:w="2268"/>
            <w:shd w:val="clear" w:color="auto" w:fill="F4F6F9"/>
            <w:vAlign w:val="center"/>
          </w:tcPr>
          <w:p>
            <w:r/>
            <w:r>
              <w:rPr>
                <w:rFonts w:ascii="Calibri" w:hAnsi="Calibri"/>
                <w:sz w:val="19"/>
              </w:rPr>
              <w:t>Comarch, Fakturownia, iFirma</w:t>
            </w:r>
          </w:p>
        </w:tc>
        <w:tc>
          <w:tcPr>
            <w:tcW w:type="dxa" w:w="2268"/>
            <w:shd w:val="clear" w:color="auto" w:fill="F4F6F9"/>
            <w:vAlign w:val="center"/>
          </w:tcPr>
          <w:p>
            <w:r/>
            <w:r>
              <w:rPr>
                <w:rFonts w:ascii="Calibri" w:hAnsi="Calibri"/>
                <w:sz w:val="19"/>
              </w:rPr>
              <w:t>TeamSystem, Zucchetti, Fiscozen</w:t>
            </w:r>
          </w:p>
        </w:tc>
        <w:tc>
          <w:tcPr>
            <w:tcW w:type="dxa" w:w="2268"/>
            <w:shd w:val="clear" w:color="auto" w:fill="F4F6F9"/>
            <w:vAlign w:val="center"/>
          </w:tcPr>
          <w:p>
            <w:r/>
            <w:r>
              <w:rPr>
                <w:rFonts w:ascii="Calibri" w:hAnsi="Calibri"/>
                <w:sz w:val="19"/>
              </w:rPr>
              <w:t>LIVS, E-Soft, Sage Cyprus</w:t>
            </w:r>
          </w:p>
        </w:tc>
      </w:tr>
      <w:tr>
        <w:tc>
          <w:tcPr>
            <w:tcW w:type="dxa" w:w="2154"/>
            <w:vAlign w:val="center"/>
          </w:tcPr>
          <w:p>
            <w:r/>
            <w:r>
              <w:rPr>
                <w:rFonts w:ascii="Calibri" w:hAnsi="Calibri"/>
                <w:sz w:val="19"/>
              </w:rPr>
              <w:t>Visma presence</w:t>
            </w:r>
          </w:p>
        </w:tc>
        <w:tc>
          <w:tcPr>
            <w:tcW w:type="dxa" w:w="2268"/>
            <w:vAlign w:val="center"/>
          </w:tcPr>
          <w:p>
            <w:r/>
            <w:r>
              <w:rPr>
                <w:rFonts w:ascii="Calibri" w:hAnsi="Calibri"/>
                <w:sz w:val="19"/>
              </w:rPr>
              <w:t>Light (selective deals)</w:t>
            </w:r>
          </w:p>
        </w:tc>
        <w:tc>
          <w:tcPr>
            <w:tcW w:type="dxa" w:w="2268"/>
            <w:vAlign w:val="center"/>
          </w:tcPr>
          <w:p>
            <w:r/>
            <w:r>
              <w:rPr>
                <w:rFonts w:ascii="Calibri" w:hAnsi="Calibri"/>
                <w:sz w:val="19"/>
              </w:rPr>
              <w:t>Yes (Fiscozen 2024)</w:t>
            </w:r>
          </w:p>
        </w:tc>
        <w:tc>
          <w:tcPr>
            <w:tcW w:type="dxa" w:w="2268"/>
            <w:vAlign w:val="center"/>
          </w:tcPr>
          <w:p>
            <w:r/>
            <w:r>
              <w:rPr>
                <w:rFonts w:ascii="Calibri" w:hAnsi="Calibri"/>
                <w:sz w:val="19"/>
              </w:rPr>
              <w:t>None</w:t>
            </w:r>
          </w:p>
        </w:tc>
      </w:tr>
      <w:tr>
        <w:tc>
          <w:tcPr>
            <w:tcW w:type="dxa" w:w="2154"/>
            <w:shd w:val="clear" w:color="auto" w:fill="F4F6F9"/>
            <w:vAlign w:val="center"/>
          </w:tcPr>
          <w:p>
            <w:r/>
            <w:r>
              <w:rPr>
                <w:rFonts w:ascii="Calibri" w:hAnsi="Calibri"/>
                <w:sz w:val="19"/>
              </w:rPr>
              <w:t>Sequencing priority</w:t>
            </w:r>
          </w:p>
        </w:tc>
        <w:tc>
          <w:tcPr>
            <w:tcW w:type="dxa" w:w="2268"/>
            <w:shd w:val="clear" w:color="auto" w:fill="F4F6F9"/>
            <w:vAlign w:val="center"/>
          </w:tcPr>
          <w:p>
            <w:r/>
            <w:r>
              <w:rPr>
                <w:rFonts w:ascii="Calibri" w:hAnsi="Calibri"/>
                <w:sz w:val="19"/>
              </w:rPr>
              <w:t>1st</w:t>
            </w:r>
          </w:p>
        </w:tc>
        <w:tc>
          <w:tcPr>
            <w:tcW w:type="dxa" w:w="2268"/>
            <w:shd w:val="clear" w:color="auto" w:fill="F4F6F9"/>
            <w:vAlign w:val="center"/>
          </w:tcPr>
          <w:p>
            <w:r/>
            <w:r>
              <w:rPr>
                <w:rFonts w:ascii="Calibri" w:hAnsi="Calibri"/>
                <w:sz w:val="19"/>
              </w:rPr>
              <w:t>3rd</w:t>
            </w:r>
          </w:p>
        </w:tc>
        <w:tc>
          <w:tcPr>
            <w:tcW w:type="dxa" w:w="2268"/>
            <w:shd w:val="clear" w:color="auto" w:fill="F4F6F9"/>
            <w:vAlign w:val="center"/>
          </w:tcPr>
          <w:p>
            <w:r/>
            <w:r>
              <w:rPr>
                <w:rFonts w:ascii="Calibri" w:hAnsi="Calibri"/>
                <w:sz w:val="19"/>
              </w:rPr>
              <w:t>2nd (holdco)</w:t>
            </w:r>
          </w:p>
        </w:tc>
      </w:tr>
      <w:tr>
        <w:tc>
          <w:tcPr>
            <w:tcW w:type="dxa" w:w="2154"/>
            <w:vAlign w:val="center"/>
          </w:tcPr>
          <w:p>
            <w:r/>
            <w:r>
              <w:rPr>
                <w:rFonts w:ascii="Calibri" w:hAnsi="Calibri"/>
                <w:sz w:val="19"/>
              </w:rPr>
              <w:t>Ledger thesis fit</w:t>
            </w:r>
          </w:p>
        </w:tc>
        <w:tc>
          <w:tcPr>
            <w:tcW w:type="dxa" w:w="2268"/>
            <w:vAlign w:val="center"/>
          </w:tcPr>
          <w:p>
            <w:r/>
            <w:r>
              <w:rPr>
                <w:rFonts w:ascii="Calibri" w:hAnsi="Calibri"/>
                <w:sz w:val="19"/>
              </w:rPr>
              <w:t>Highest urgency (KSeF) + lowest mult.</w:t>
            </w:r>
          </w:p>
        </w:tc>
        <w:tc>
          <w:tcPr>
            <w:tcW w:type="dxa" w:w="2268"/>
            <w:vAlign w:val="center"/>
          </w:tcPr>
          <w:p>
            <w:r/>
            <w:r>
              <w:rPr>
                <w:rFonts w:ascii="Calibri" w:hAnsi="Calibri"/>
                <w:sz w:val="19"/>
              </w:rPr>
              <w:t>Largest TAM, slower entry</w:t>
            </w:r>
          </w:p>
        </w:tc>
        <w:tc>
          <w:tcPr>
            <w:tcW w:type="dxa" w:w="2268"/>
            <w:vAlign w:val="center"/>
          </w:tcPr>
          <w:p>
            <w:r/>
            <w:r>
              <w:rPr>
                <w:rFonts w:ascii="Calibri" w:hAnsi="Calibri"/>
                <w:sz w:val="19"/>
              </w:rPr>
              <w:t>Holdco structure + small footprint</w:t>
            </w:r>
          </w:p>
        </w:tc>
      </w:tr>
    </w:tbl>
    <w:p>
      <w:pPr>
        <w:spacing w:before="280" w:after="80"/>
      </w:pPr>
      <w:r>
        <w:rPr>
          <w:rFonts w:ascii="Calibri" w:hAnsi="Calibri"/>
          <w:b/>
          <w:color w:val="1F3A5F"/>
          <w:sz w:val="28"/>
        </w:rPr>
        <w:t>4.2  Poland — first geography</w:t>
      </w:r>
    </w:p>
    <w:p>
      <w:pPr>
        <w:spacing w:after="80" w:line="300" w:lineRule="auto"/>
      </w:pPr>
      <w:r>
        <w:rPr>
          <w:rFonts w:ascii="Calibri" w:hAnsi="Calibri"/>
          <w:b w:val="0"/>
          <w:i w:val="0"/>
          <w:color w:val="101010"/>
          <w:sz w:val="21"/>
        </w:rPr>
        <w:t>Poland is our beachhead. Three reasons:</w:t>
      </w:r>
    </w:p>
    <w:p>
      <w:pPr>
        <w:pStyle w:val="ListBullet"/>
        <w:spacing w:after="40" w:line="288" w:lineRule="auto"/>
      </w:pPr>
      <w:r>
        <w:rPr>
          <w:rFonts w:ascii="Calibri" w:hAnsi="Calibri"/>
          <w:b/>
          <w:sz w:val="21"/>
        </w:rPr>
        <w:t>Regulatory cliff:</w:t>
      </w:r>
      <w:r>
        <w:rPr>
          <w:rFonts w:ascii="Calibri" w:hAnsi="Calibri"/>
          <w:sz w:val="21"/>
        </w:rPr>
        <w:t xml:space="preserve"> KSeF (Krajowy System e-Faktur) becomes mandatory for VAT-registered businesses in February 2026 (rolling cliff through 2027). Every accounting practice needs to upgrade software, training and process. Smaller practices cannot afford the capex.</w:t>
      </w:r>
    </w:p>
    <w:p>
      <w:pPr>
        <w:pStyle w:val="ListBullet"/>
        <w:spacing w:after="40" w:line="288" w:lineRule="auto"/>
      </w:pPr>
      <w:r>
        <w:rPr>
          <w:rFonts w:ascii="Calibri" w:hAnsi="Calibri"/>
          <w:b/>
          <w:sz w:val="21"/>
        </w:rPr>
        <w:t>Best entry economics:</w:t>
      </w:r>
      <w:r>
        <w:rPr>
          <w:rFonts w:ascii="Calibri" w:hAnsi="Calibri"/>
          <w:sz w:val="21"/>
        </w:rPr>
        <w:t xml:space="preserve"> Highest practice count (~8,500 sub-€2M practices) and lowest entry multiples (3.5–4.0× EBITDA, sometimes lower for retirement-driven sellers).</w:t>
      </w:r>
    </w:p>
    <w:p>
      <w:pPr>
        <w:pStyle w:val="ListBullet"/>
        <w:spacing w:after="40" w:line="288" w:lineRule="auto"/>
      </w:pPr>
      <w:r>
        <w:rPr>
          <w:rFonts w:ascii="Calibri" w:hAnsi="Calibri"/>
          <w:b/>
          <w:sz w:val="21"/>
        </w:rPr>
        <w:t>Mature tech stack:</w:t>
      </w:r>
      <w:r>
        <w:rPr>
          <w:rFonts w:ascii="Calibri" w:hAnsi="Calibri"/>
          <w:sz w:val="21"/>
        </w:rPr>
        <w:t xml:space="preserve"> Comarch and Fakturownia have already built the e-invoicing rails — we plug into them rather than build, so AI overlay is a 60-day deployment, not 6 months.</w:t>
      </w:r>
    </w:p>
    <w:p>
      <w:pPr>
        <w:spacing w:before="200" w:after="40"/>
      </w:pPr>
      <w:r>
        <w:rPr>
          <w:rFonts w:ascii="Calibri" w:hAnsi="Calibri"/>
          <w:b/>
          <w:color w:val="FF6B35"/>
          <w:sz w:val="23"/>
        </w:rPr>
        <w:t>Polish playbook — Year 1</w:t>
      </w:r>
    </w:p>
    <w:p>
      <w:pPr>
        <w:pStyle w:val="ListBullet"/>
        <w:spacing w:after="40" w:line="288" w:lineRule="auto"/>
      </w:pPr>
      <w:r>
        <w:rPr>
          <w:rFonts w:ascii="Calibri" w:hAnsi="Calibri"/>
          <w:sz w:val="21"/>
        </w:rPr>
        <w:t>Close LEDGER-1 in month 4 (Warsaw / Wrocław, €2.5M revenue, €0.5M EBITDA, 3.5× = €1.75M EV).</w:t>
      </w:r>
    </w:p>
    <w:p>
      <w:pPr>
        <w:pStyle w:val="ListBullet"/>
        <w:spacing w:after="40" w:line="288" w:lineRule="auto"/>
      </w:pPr>
      <w:r>
        <w:rPr>
          <w:rFonts w:ascii="Calibri" w:hAnsi="Calibri"/>
          <w:sz w:val="21"/>
        </w:rPr>
        <w:t>Close LEDGER-2 in month 6 (Kraków / Poznań, €1.8M revenue, €0.4M EBITDA, 3.5× = €1.4M EV).</w:t>
      </w:r>
    </w:p>
    <w:p>
      <w:pPr>
        <w:pStyle w:val="ListBullet"/>
        <w:spacing w:after="40" w:line="288" w:lineRule="auto"/>
      </w:pPr>
      <w:r>
        <w:rPr>
          <w:rFonts w:ascii="Calibri" w:hAnsi="Calibri"/>
          <w:sz w:val="21"/>
        </w:rPr>
        <w:t>Launch Ledger Poland Sp. z o.o. — integration entity for shared services, AI overlay, brand portfolio.</w:t>
      </w:r>
    </w:p>
    <w:p>
      <w:pPr>
        <w:pStyle w:val="ListBullet"/>
        <w:spacing w:after="40" w:line="288" w:lineRule="auto"/>
      </w:pPr>
      <w:r>
        <w:rPr>
          <w:rFonts w:ascii="Calibri" w:hAnsi="Calibri"/>
          <w:sz w:val="21"/>
        </w:rPr>
        <w:t>Hire local M&amp;A originator and an integration lead (head of operations) in months 2 and 3 respectively.</w:t>
      </w:r>
    </w:p>
    <w:p>
      <w:pPr>
        <w:spacing w:before="280" w:after="80"/>
      </w:pPr>
      <w:r>
        <w:rPr>
          <w:rFonts w:ascii="Calibri" w:hAnsi="Calibri"/>
          <w:b/>
          <w:color w:val="1F3A5F"/>
          <w:sz w:val="28"/>
        </w:rPr>
        <w:t>4.3  Cyprus — holdco and toehold</w:t>
      </w:r>
    </w:p>
    <w:p>
      <w:pPr>
        <w:spacing w:after="80" w:line="300" w:lineRule="auto"/>
      </w:pPr>
      <w:r>
        <w:rPr>
          <w:rFonts w:ascii="Calibri" w:hAnsi="Calibri"/>
          <w:b w:val="0"/>
          <w:i w:val="0"/>
          <w:color w:val="101010"/>
          <w:sz w:val="21"/>
        </w:rPr>
        <w:t>Cyprus serves two roles: (1) Ledger Holdings Limited is incorporated in Limassol as the group parent, with IP licensing, tax structuring and EU passporting flowing through it; (2) a small local toehold acquisition (1 practice, €0.6–1M revenue) establishes operational presence and tests the integration model on a low-stakes asset before deploying capital in Italy.</w:t>
      </w:r>
    </w:p>
    <w:p>
      <w:pPr>
        <w:spacing w:after="80" w:line="300" w:lineRule="auto"/>
      </w:pPr>
      <w:r>
        <w:rPr>
          <w:rFonts w:ascii="Calibri" w:hAnsi="Calibri"/>
          <w:b w:val="0"/>
          <w:i w:val="0"/>
          <w:color w:val="101010"/>
          <w:sz w:val="21"/>
        </w:rPr>
        <w:t>Cyprus tax: 12.5% corporate rate, IP-box at effective 2.5% on qualifying IP, no withholding on outbound dividends to NL/UK/Ireland shareholders, double-tax treaties with Poland and Italy. Standard PE structure.</w:t>
      </w:r>
    </w:p>
    <w:p>
      <w:pPr>
        <w:spacing w:before="200" w:after="40"/>
      </w:pPr>
      <w:r>
        <w:rPr>
          <w:rFonts w:ascii="Calibri" w:hAnsi="Calibri"/>
          <w:b/>
          <w:color w:val="FF6B35"/>
          <w:sz w:val="23"/>
        </w:rPr>
        <w:t>Cyprus playbook — Year 1</w:t>
      </w:r>
    </w:p>
    <w:p>
      <w:pPr>
        <w:pStyle w:val="ListBullet"/>
        <w:spacing w:after="40" w:line="288" w:lineRule="auto"/>
      </w:pPr>
      <w:r>
        <w:rPr>
          <w:rFonts w:ascii="Calibri" w:hAnsi="Calibri"/>
          <w:sz w:val="21"/>
        </w:rPr>
        <w:t>Incorporate Ledger Holdings Limited in month 1.</w:t>
      </w:r>
    </w:p>
    <w:p>
      <w:pPr>
        <w:pStyle w:val="ListBullet"/>
        <w:spacing w:after="40" w:line="288" w:lineRule="auto"/>
      </w:pPr>
      <w:r>
        <w:rPr>
          <w:rFonts w:ascii="Calibri" w:hAnsi="Calibri"/>
          <w:sz w:val="21"/>
        </w:rPr>
        <w:t>Engage Cyprus law firm (Andreas Neocleous, Chrysostomides, KPMG-Cy) for structure on Day 30.</w:t>
      </w:r>
    </w:p>
    <w:p>
      <w:pPr>
        <w:pStyle w:val="ListBullet"/>
        <w:spacing w:after="40" w:line="288" w:lineRule="auto"/>
      </w:pPr>
      <w:r>
        <w:rPr>
          <w:rFonts w:ascii="Calibri" w:hAnsi="Calibri"/>
          <w:sz w:val="21"/>
        </w:rPr>
        <w:t>Close LEDGER-CY-1 in month 7 — single local practice, €0.8M revenue, €0.2M EBITDA, 4× = €0.8M EV.</w:t>
      </w:r>
    </w:p>
    <w:p>
      <w:pPr>
        <w:pStyle w:val="ListBullet"/>
        <w:spacing w:after="40" w:line="288" w:lineRule="auto"/>
      </w:pPr>
      <w:r>
        <w:rPr>
          <w:rFonts w:ascii="Calibri" w:hAnsi="Calibri"/>
          <w:sz w:val="21"/>
        </w:rPr>
        <w:t>Use LEDGER-CY-1 as the AI-overlay sandbox before deploying to bigger PL/IT assets.</w:t>
      </w:r>
    </w:p>
    <w:p>
      <w:pPr>
        <w:spacing w:before="280" w:after="80"/>
      </w:pPr>
      <w:r>
        <w:rPr>
          <w:rFonts w:ascii="Calibri" w:hAnsi="Calibri"/>
          <w:b/>
          <w:color w:val="1F3A5F"/>
          <w:sz w:val="28"/>
        </w:rPr>
        <w:t>4.4  Italy — scale geography (year 2+)</w:t>
      </w:r>
    </w:p>
    <w:p>
      <w:pPr>
        <w:spacing w:after="80" w:line="300" w:lineRule="auto"/>
      </w:pPr>
      <w:r>
        <w:rPr>
          <w:rFonts w:ascii="Calibri" w:hAnsi="Calibri"/>
          <w:b w:val="0"/>
          <w:i w:val="0"/>
          <w:color w:val="101010"/>
          <w:sz w:val="21"/>
        </w:rPr>
        <w:t>Italy is the largest TAM but is also where Visma already plays (Fiscozen, 2024). We defer Italy to month 15+ because:</w:t>
      </w:r>
    </w:p>
    <w:p>
      <w:pPr>
        <w:pStyle w:val="ListBullet"/>
        <w:spacing w:after="40" w:line="288" w:lineRule="auto"/>
      </w:pPr>
      <w:r>
        <w:rPr>
          <w:rFonts w:ascii="Calibri" w:hAnsi="Calibri"/>
          <w:sz w:val="21"/>
        </w:rPr>
        <w:t>Higher entry multiples (5–6× EBITDA) require more capital — better deployed after Series A.</w:t>
      </w:r>
    </w:p>
    <w:p>
      <w:pPr>
        <w:pStyle w:val="ListBullet"/>
        <w:spacing w:after="40" w:line="288" w:lineRule="auto"/>
      </w:pPr>
      <w:r>
        <w:rPr>
          <w:rFonts w:ascii="Calibri" w:hAnsi="Calibri"/>
          <w:sz w:val="21"/>
        </w:rPr>
        <w:t>SdI is already universal, so no regulatory urgency — buyers are not pressured to sell.</w:t>
      </w:r>
    </w:p>
    <w:p>
      <w:pPr>
        <w:pStyle w:val="ListBullet"/>
        <w:spacing w:after="40" w:line="288" w:lineRule="auto"/>
      </w:pPr>
      <w:r>
        <w:rPr>
          <w:rFonts w:ascii="Calibri" w:hAnsi="Calibri"/>
          <w:sz w:val="21"/>
        </w:rPr>
        <w:t>Visma is active — we need an established Polish track record to compete on speed and terms.</w:t>
      </w:r>
    </w:p>
    <w:p>
      <w:pPr>
        <w:pStyle w:val="ListBullet"/>
        <w:spacing w:after="40" w:line="288" w:lineRule="auto"/>
      </w:pPr>
      <w:r>
        <w:rPr>
          <w:rFonts w:ascii="Calibri" w:hAnsi="Calibri"/>
          <w:sz w:val="21"/>
        </w:rPr>
        <w:t>TeamSystem and Zucchetti dominate the tech stack — integration risk higher, slower deployment.</w:t>
      </w:r>
    </w:p>
    <w:p>
      <w:pPr>
        <w:spacing w:before="200" w:after="40"/>
      </w:pPr>
      <w:r>
        <w:rPr>
          <w:rFonts w:ascii="Calibri" w:hAnsi="Calibri"/>
          <w:b/>
          <w:color w:val="FF6B35"/>
          <w:sz w:val="23"/>
        </w:rPr>
        <w:t>Italian playbook — Year 2+</w:t>
      </w:r>
    </w:p>
    <w:p>
      <w:pPr>
        <w:pStyle w:val="ListBullet"/>
        <w:spacing w:after="40" w:line="288" w:lineRule="auto"/>
      </w:pPr>
      <w:r>
        <w:rPr>
          <w:rFonts w:ascii="Calibri" w:hAnsi="Calibri"/>
          <w:sz w:val="21"/>
        </w:rPr>
        <w:t>Open Ledger Italia Srl in month 12 (Milan or Rome).</w:t>
      </w:r>
    </w:p>
    <w:p>
      <w:pPr>
        <w:pStyle w:val="ListBullet"/>
        <w:spacing w:after="40" w:line="288" w:lineRule="auto"/>
      </w:pPr>
      <w:r>
        <w:rPr>
          <w:rFonts w:ascii="Calibri" w:hAnsi="Calibri"/>
          <w:sz w:val="21"/>
        </w:rPr>
        <w:t>Close LEDGER-IT-1 in month 16 — €4M revenue, €0.7M EBITDA, 5× = €3.5M EV.</w:t>
      </w:r>
    </w:p>
    <w:p>
      <w:pPr>
        <w:pStyle w:val="ListBullet"/>
        <w:spacing w:after="40" w:line="288" w:lineRule="auto"/>
      </w:pPr>
      <w:r>
        <w:rPr>
          <w:rFonts w:ascii="Calibri" w:hAnsi="Calibri"/>
          <w:sz w:val="21"/>
        </w:rPr>
        <w:t>Build out 3 Italian closes through FY29.</w:t>
      </w:r>
    </w:p>
    <w:p>
      <w:pPr>
        <w:pStyle w:val="ListBullet"/>
        <w:spacing w:after="40" w:line="288" w:lineRule="auto"/>
      </w:pPr>
      <w:r>
        <w:rPr>
          <w:rFonts w:ascii="Calibri" w:hAnsi="Calibri"/>
          <w:sz w:val="21"/>
        </w:rPr>
        <w:t>Italy will likely be the asset that triggers an exit conversation with Visma in FY30.</w:t>
      </w:r>
    </w:p>
    <w:p>
      <w:r>
        <w:br w:type="page"/>
      </w:r>
    </w:p>
    <w:p>
      <w:pPr>
        <w:spacing w:before="360" w:after="120"/>
      </w:pPr>
      <w:r>
        <w:rPr>
          <w:rFonts w:ascii="Calibri" w:hAnsi="Calibri"/>
          <w:b/>
          <w:color w:val="1F3A5F"/>
          <w:sz w:val="40"/>
        </w:rPr>
        <w:t>5. Operating Model</w:t>
      </w:r>
    </w:p>
    <w:p>
      <w:pPr>
        <w:spacing w:before="280" w:after="80"/>
      </w:pPr>
      <w:r>
        <w:rPr>
          <w:rFonts w:ascii="Calibri" w:hAnsi="Calibri"/>
          <w:b/>
          <w:color w:val="1F3A5F"/>
          <w:sz w:val="28"/>
        </w:rPr>
        <w:t>5.1  Holding structure</w:t>
      </w:r>
    </w:p>
    <w:p>
      <w:pPr>
        <w:spacing w:after="80" w:line="300" w:lineRule="auto"/>
      </w:pPr>
      <w:r>
        <w:rPr>
          <w:rFonts w:ascii="Calibri" w:hAnsi="Calibri"/>
          <w:b w:val="0"/>
          <w:i w:val="0"/>
          <w:color w:val="101010"/>
          <w:sz w:val="21"/>
        </w:rPr>
        <w:t>Three-tier holdco structure:</w:t>
      </w:r>
    </w:p>
    <w:p>
      <w:pPr>
        <w:pStyle w:val="ListBullet"/>
        <w:spacing w:after="40" w:line="288" w:lineRule="auto"/>
      </w:pPr>
      <w:r>
        <w:rPr>
          <w:rFonts w:ascii="Calibri" w:hAnsi="Calibri"/>
          <w:b/>
          <w:sz w:val="21"/>
        </w:rPr>
        <w:t>Tier 1:</w:t>
      </w:r>
      <w:r>
        <w:rPr>
          <w:rFonts w:ascii="Calibri" w:hAnsi="Calibri"/>
          <w:sz w:val="21"/>
        </w:rPr>
        <w:t xml:space="preserve"> Ledger Holdings Limited (Cyprus) — group parent, IP, holdco-level debt, equity cap table.</w:t>
      </w:r>
    </w:p>
    <w:p>
      <w:pPr>
        <w:pStyle w:val="ListBullet"/>
        <w:spacing w:after="40" w:line="288" w:lineRule="auto"/>
      </w:pPr>
      <w:r>
        <w:rPr>
          <w:rFonts w:ascii="Calibri" w:hAnsi="Calibri"/>
          <w:b/>
          <w:sz w:val="21"/>
        </w:rPr>
        <w:t>Tier 2:</w:t>
      </w:r>
      <w:r>
        <w:rPr>
          <w:rFonts w:ascii="Calibri" w:hAnsi="Calibri"/>
          <w:sz w:val="21"/>
        </w:rPr>
        <w:t xml:space="preserve"> Country subholdings — Ledger Poland Sp. z o.o., Ledger Italia Srl, Ledger Cyprus Ltd. Each owns the local acquired practices and consolidates locally.</w:t>
      </w:r>
    </w:p>
    <w:p>
      <w:pPr>
        <w:pStyle w:val="ListBullet"/>
        <w:spacing w:after="40" w:line="288" w:lineRule="auto"/>
      </w:pPr>
      <w:r>
        <w:rPr>
          <w:rFonts w:ascii="Calibri" w:hAnsi="Calibri"/>
          <w:b/>
          <w:sz w:val="21"/>
        </w:rPr>
        <w:t>Tier 3:</w:t>
      </w:r>
      <w:r>
        <w:rPr>
          <w:rFonts w:ascii="Calibri" w:hAnsi="Calibri"/>
          <w:sz w:val="21"/>
        </w:rPr>
        <w:t xml:space="preserve"> Operating practices — each acquired practice retained as its own legal entity for the first 24 months (preserves local licenses, client trust, seller earnout), then merged or wound down post-platform migration.</w:t>
      </w:r>
    </w:p>
    <w:p>
      <w:pPr>
        <w:spacing w:before="280" w:after="80"/>
      </w:pPr>
      <w:r>
        <w:rPr>
          <w:rFonts w:ascii="Calibri" w:hAnsi="Calibri"/>
          <w:b/>
          <w:color w:val="1F3A5F"/>
          <w:sz w:val="28"/>
        </w:rPr>
        <w:t>5.2  Functional org by Year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1F3A5F"/>
            <w:vAlign w:val="center"/>
          </w:tcPr>
          <w:p>
            <w:r/>
            <w:r>
              <w:rPr>
                <w:rFonts w:ascii="Calibri" w:hAnsi="Calibri"/>
                <w:b/>
                <w:color w:val="FFFFFF"/>
                <w:sz w:val="20"/>
              </w:rPr>
              <w:t>Function</w:t>
            </w:r>
          </w:p>
        </w:tc>
        <w:tc>
          <w:tcPr>
            <w:tcW w:type="dxa" w:w="1417"/>
            <w:shd w:val="clear" w:color="auto" w:fill="1F3A5F"/>
            <w:vAlign w:val="center"/>
          </w:tcPr>
          <w:p>
            <w:r/>
            <w:r>
              <w:rPr>
                <w:rFonts w:ascii="Calibri" w:hAnsi="Calibri"/>
                <w:b/>
                <w:color w:val="FFFFFF"/>
                <w:sz w:val="20"/>
              </w:rPr>
              <w:t>Headcount Y2</w:t>
            </w:r>
          </w:p>
        </w:tc>
        <w:tc>
          <w:tcPr>
            <w:tcW w:type="dxa" w:w="1701"/>
            <w:shd w:val="clear" w:color="auto" w:fill="1F3A5F"/>
            <w:vAlign w:val="center"/>
          </w:tcPr>
          <w:p>
            <w:r/>
            <w:r>
              <w:rPr>
                <w:rFonts w:ascii="Calibri" w:hAnsi="Calibri"/>
                <w:b/>
                <w:color w:val="FFFFFF"/>
                <w:sz w:val="20"/>
              </w:rPr>
              <w:t>Located in</w:t>
            </w:r>
          </w:p>
        </w:tc>
        <w:tc>
          <w:tcPr>
            <w:tcW w:type="dxa" w:w="3402"/>
            <w:shd w:val="clear" w:color="auto" w:fill="1F3A5F"/>
            <w:vAlign w:val="center"/>
          </w:tcPr>
          <w:p>
            <w:r/>
            <w:r>
              <w:rPr>
                <w:rFonts w:ascii="Calibri" w:hAnsi="Calibri"/>
                <w:b/>
                <w:color w:val="FFFFFF"/>
                <w:sz w:val="20"/>
              </w:rPr>
              <w:t>Notes</w:t>
            </w:r>
          </w:p>
        </w:tc>
      </w:tr>
      <w:tr>
        <w:tc>
          <w:tcPr>
            <w:tcW w:type="dxa" w:w="2268"/>
            <w:vAlign w:val="center"/>
          </w:tcPr>
          <w:p>
            <w:r/>
            <w:r>
              <w:rPr>
                <w:rFonts w:ascii="Calibri" w:hAnsi="Calibri"/>
                <w:sz w:val="19"/>
              </w:rPr>
              <w:t>Group CEO / Founder</w:t>
            </w:r>
          </w:p>
        </w:tc>
        <w:tc>
          <w:tcPr>
            <w:tcW w:type="dxa" w:w="1417"/>
            <w:vAlign w:val="center"/>
          </w:tcPr>
          <w:p>
            <w:r/>
            <w:r>
              <w:rPr>
                <w:rFonts w:ascii="Calibri" w:hAnsi="Calibri"/>
                <w:sz w:val="19"/>
              </w:rPr>
              <w:t>1</w:t>
            </w:r>
          </w:p>
        </w:tc>
        <w:tc>
          <w:tcPr>
            <w:tcW w:type="dxa" w:w="1701"/>
            <w:vAlign w:val="center"/>
          </w:tcPr>
          <w:p>
            <w:r/>
            <w:r>
              <w:rPr>
                <w:rFonts w:ascii="Calibri" w:hAnsi="Calibri"/>
                <w:sz w:val="19"/>
              </w:rPr>
              <w:t>Cyprus / NL</w:t>
            </w:r>
          </w:p>
        </w:tc>
        <w:tc>
          <w:tcPr>
            <w:tcW w:type="dxa" w:w="3402"/>
            <w:vAlign w:val="center"/>
          </w:tcPr>
          <w:p>
            <w:r/>
            <w:r>
              <w:rPr>
                <w:rFonts w:ascii="Calibri" w:hAnsi="Calibri"/>
                <w:sz w:val="19"/>
              </w:rPr>
              <w:t>Strategy, capital, M&amp;A pipeline</w:t>
            </w:r>
          </w:p>
        </w:tc>
      </w:tr>
      <w:tr>
        <w:tc>
          <w:tcPr>
            <w:tcW w:type="dxa" w:w="2268"/>
            <w:shd w:val="clear" w:color="auto" w:fill="F4F6F9"/>
            <w:vAlign w:val="center"/>
          </w:tcPr>
          <w:p>
            <w:r/>
            <w:r>
              <w:rPr>
                <w:rFonts w:ascii="Calibri" w:hAnsi="Calibri"/>
                <w:sz w:val="19"/>
              </w:rPr>
              <w:t>Group CFO</w:t>
            </w:r>
          </w:p>
        </w:tc>
        <w:tc>
          <w:tcPr>
            <w:tcW w:type="dxa" w:w="1417"/>
            <w:shd w:val="clear" w:color="auto" w:fill="F4F6F9"/>
            <w:vAlign w:val="center"/>
          </w:tcPr>
          <w:p>
            <w:r/>
            <w:r>
              <w:rPr>
                <w:rFonts w:ascii="Calibri" w:hAnsi="Calibri"/>
                <w:sz w:val="19"/>
              </w:rPr>
              <w:t>1</w:t>
            </w:r>
          </w:p>
        </w:tc>
        <w:tc>
          <w:tcPr>
            <w:tcW w:type="dxa" w:w="1701"/>
            <w:shd w:val="clear" w:color="auto" w:fill="F4F6F9"/>
            <w:vAlign w:val="center"/>
          </w:tcPr>
          <w:p>
            <w:r/>
            <w:r>
              <w:rPr>
                <w:rFonts w:ascii="Calibri" w:hAnsi="Calibri"/>
                <w:sz w:val="19"/>
              </w:rPr>
              <w:t>Cyprus</w:t>
            </w:r>
          </w:p>
        </w:tc>
        <w:tc>
          <w:tcPr>
            <w:tcW w:type="dxa" w:w="3402"/>
            <w:shd w:val="clear" w:color="auto" w:fill="F4F6F9"/>
            <w:vAlign w:val="center"/>
          </w:tcPr>
          <w:p>
            <w:r/>
            <w:r>
              <w:rPr>
                <w:rFonts w:ascii="Calibri" w:hAnsi="Calibri"/>
                <w:sz w:val="19"/>
              </w:rPr>
              <w:t>Consolidation, audit, treasury</w:t>
            </w:r>
          </w:p>
        </w:tc>
      </w:tr>
      <w:tr>
        <w:tc>
          <w:tcPr>
            <w:tcW w:type="dxa" w:w="2268"/>
            <w:vAlign w:val="center"/>
          </w:tcPr>
          <w:p>
            <w:r/>
            <w:r>
              <w:rPr>
                <w:rFonts w:ascii="Calibri" w:hAnsi="Calibri"/>
                <w:sz w:val="19"/>
              </w:rPr>
              <w:t>M&amp;A originator (PL)</w:t>
            </w:r>
          </w:p>
        </w:tc>
        <w:tc>
          <w:tcPr>
            <w:tcW w:type="dxa" w:w="1417"/>
            <w:vAlign w:val="center"/>
          </w:tcPr>
          <w:p>
            <w:r/>
            <w:r>
              <w:rPr>
                <w:rFonts w:ascii="Calibri" w:hAnsi="Calibri"/>
                <w:sz w:val="19"/>
              </w:rPr>
              <w:t>1</w:t>
            </w:r>
          </w:p>
        </w:tc>
        <w:tc>
          <w:tcPr>
            <w:tcW w:type="dxa" w:w="1701"/>
            <w:vAlign w:val="center"/>
          </w:tcPr>
          <w:p>
            <w:r/>
            <w:r>
              <w:rPr>
                <w:rFonts w:ascii="Calibri" w:hAnsi="Calibri"/>
                <w:sz w:val="19"/>
              </w:rPr>
              <w:t>Warsaw</w:t>
            </w:r>
          </w:p>
        </w:tc>
        <w:tc>
          <w:tcPr>
            <w:tcW w:type="dxa" w:w="3402"/>
            <w:vAlign w:val="center"/>
          </w:tcPr>
          <w:p>
            <w:r/>
            <w:r>
              <w:rPr>
                <w:rFonts w:ascii="Calibri" w:hAnsi="Calibri"/>
                <w:sz w:val="19"/>
              </w:rPr>
              <w:t>Pipeline, LOI, due diligence</w:t>
            </w:r>
          </w:p>
        </w:tc>
      </w:tr>
      <w:tr>
        <w:tc>
          <w:tcPr>
            <w:tcW w:type="dxa" w:w="2268"/>
            <w:shd w:val="clear" w:color="auto" w:fill="F4F6F9"/>
            <w:vAlign w:val="center"/>
          </w:tcPr>
          <w:p>
            <w:r/>
            <w:r>
              <w:rPr>
                <w:rFonts w:ascii="Calibri" w:hAnsi="Calibri"/>
                <w:sz w:val="19"/>
              </w:rPr>
              <w:t>M&amp;A originator (IT)</w:t>
            </w:r>
          </w:p>
        </w:tc>
        <w:tc>
          <w:tcPr>
            <w:tcW w:type="dxa" w:w="1417"/>
            <w:shd w:val="clear" w:color="auto" w:fill="F4F6F9"/>
            <w:vAlign w:val="center"/>
          </w:tcPr>
          <w:p>
            <w:r/>
            <w:r>
              <w:rPr>
                <w:rFonts w:ascii="Calibri" w:hAnsi="Calibri"/>
                <w:sz w:val="19"/>
              </w:rPr>
              <w:t>0.5 (Y2.5)</w:t>
            </w:r>
          </w:p>
        </w:tc>
        <w:tc>
          <w:tcPr>
            <w:tcW w:type="dxa" w:w="1701"/>
            <w:shd w:val="clear" w:color="auto" w:fill="F4F6F9"/>
            <w:vAlign w:val="center"/>
          </w:tcPr>
          <w:p>
            <w:r/>
            <w:r>
              <w:rPr>
                <w:rFonts w:ascii="Calibri" w:hAnsi="Calibri"/>
                <w:sz w:val="19"/>
              </w:rPr>
              <w:t>Milan</w:t>
            </w:r>
          </w:p>
        </w:tc>
        <w:tc>
          <w:tcPr>
            <w:tcW w:type="dxa" w:w="3402"/>
            <w:shd w:val="clear" w:color="auto" w:fill="F4F6F9"/>
            <w:vAlign w:val="center"/>
          </w:tcPr>
          <w:p>
            <w:r/>
            <w:r>
              <w:rPr>
                <w:rFonts w:ascii="Calibri" w:hAnsi="Calibri"/>
                <w:sz w:val="19"/>
              </w:rPr>
              <w:t>Hire after Series A closes</w:t>
            </w:r>
          </w:p>
        </w:tc>
      </w:tr>
      <w:tr>
        <w:tc>
          <w:tcPr>
            <w:tcW w:type="dxa" w:w="2268"/>
            <w:vAlign w:val="center"/>
          </w:tcPr>
          <w:p>
            <w:r/>
            <w:r>
              <w:rPr>
                <w:rFonts w:ascii="Calibri" w:hAnsi="Calibri"/>
                <w:sz w:val="19"/>
              </w:rPr>
              <w:t>Head of Integration</w:t>
            </w:r>
          </w:p>
        </w:tc>
        <w:tc>
          <w:tcPr>
            <w:tcW w:type="dxa" w:w="1417"/>
            <w:vAlign w:val="center"/>
          </w:tcPr>
          <w:p>
            <w:r/>
            <w:r>
              <w:rPr>
                <w:rFonts w:ascii="Calibri" w:hAnsi="Calibri"/>
                <w:sz w:val="19"/>
              </w:rPr>
              <w:t>1</w:t>
            </w:r>
          </w:p>
        </w:tc>
        <w:tc>
          <w:tcPr>
            <w:tcW w:type="dxa" w:w="1701"/>
            <w:vAlign w:val="center"/>
          </w:tcPr>
          <w:p>
            <w:r/>
            <w:r>
              <w:rPr>
                <w:rFonts w:ascii="Calibri" w:hAnsi="Calibri"/>
                <w:sz w:val="19"/>
              </w:rPr>
              <w:t>Warsaw</w:t>
            </w:r>
          </w:p>
        </w:tc>
        <w:tc>
          <w:tcPr>
            <w:tcW w:type="dxa" w:w="3402"/>
            <w:vAlign w:val="center"/>
          </w:tcPr>
          <w:p>
            <w:r/>
            <w:r>
              <w:rPr>
                <w:rFonts w:ascii="Calibri" w:hAnsi="Calibri"/>
                <w:sz w:val="19"/>
              </w:rPr>
              <w:t>Day 30 / 90 / 180 playbook</w:t>
            </w:r>
          </w:p>
        </w:tc>
      </w:tr>
      <w:tr>
        <w:tc>
          <w:tcPr>
            <w:tcW w:type="dxa" w:w="2268"/>
            <w:shd w:val="clear" w:color="auto" w:fill="F4F6F9"/>
            <w:vAlign w:val="center"/>
          </w:tcPr>
          <w:p>
            <w:r/>
            <w:r>
              <w:rPr>
                <w:rFonts w:ascii="Calibri" w:hAnsi="Calibri"/>
                <w:sz w:val="19"/>
              </w:rPr>
              <w:t>Head of AI / Product</w:t>
            </w:r>
          </w:p>
        </w:tc>
        <w:tc>
          <w:tcPr>
            <w:tcW w:type="dxa" w:w="1417"/>
            <w:shd w:val="clear" w:color="auto" w:fill="F4F6F9"/>
            <w:vAlign w:val="center"/>
          </w:tcPr>
          <w:p>
            <w:r/>
            <w:r>
              <w:rPr>
                <w:rFonts w:ascii="Calibri" w:hAnsi="Calibri"/>
                <w:sz w:val="19"/>
              </w:rPr>
              <w:t>1</w:t>
            </w:r>
          </w:p>
        </w:tc>
        <w:tc>
          <w:tcPr>
            <w:tcW w:type="dxa" w:w="1701"/>
            <w:shd w:val="clear" w:color="auto" w:fill="F4F6F9"/>
            <w:vAlign w:val="center"/>
          </w:tcPr>
          <w:p>
            <w:r/>
            <w:r>
              <w:rPr>
                <w:rFonts w:ascii="Calibri" w:hAnsi="Calibri"/>
                <w:sz w:val="19"/>
              </w:rPr>
              <w:t>Cyprus / remote</w:t>
            </w:r>
          </w:p>
        </w:tc>
        <w:tc>
          <w:tcPr>
            <w:tcW w:type="dxa" w:w="3402"/>
            <w:shd w:val="clear" w:color="auto" w:fill="F4F6F9"/>
            <w:vAlign w:val="center"/>
          </w:tcPr>
          <w:p>
            <w:r/>
            <w:r>
              <w:rPr>
                <w:rFonts w:ascii="Calibri" w:hAnsi="Calibri"/>
                <w:sz w:val="19"/>
              </w:rPr>
              <w:t>OCR, classification, dashboards</w:t>
            </w:r>
          </w:p>
        </w:tc>
      </w:tr>
      <w:tr>
        <w:tc>
          <w:tcPr>
            <w:tcW w:type="dxa" w:w="2268"/>
            <w:vAlign w:val="center"/>
          </w:tcPr>
          <w:p>
            <w:r/>
            <w:r>
              <w:rPr>
                <w:rFonts w:ascii="Calibri" w:hAnsi="Calibri"/>
                <w:sz w:val="19"/>
              </w:rPr>
              <w:t>AI engineers</w:t>
            </w:r>
          </w:p>
        </w:tc>
        <w:tc>
          <w:tcPr>
            <w:tcW w:type="dxa" w:w="1417"/>
            <w:vAlign w:val="center"/>
          </w:tcPr>
          <w:p>
            <w:r/>
            <w:r>
              <w:rPr>
                <w:rFonts w:ascii="Calibri" w:hAnsi="Calibri"/>
                <w:sz w:val="19"/>
              </w:rPr>
              <w:t>3</w:t>
            </w:r>
          </w:p>
        </w:tc>
        <w:tc>
          <w:tcPr>
            <w:tcW w:type="dxa" w:w="1701"/>
            <w:vAlign w:val="center"/>
          </w:tcPr>
          <w:p>
            <w:r/>
            <w:r>
              <w:rPr>
                <w:rFonts w:ascii="Calibri" w:hAnsi="Calibri"/>
                <w:sz w:val="19"/>
              </w:rPr>
              <w:t>Remote (EU)</w:t>
            </w:r>
          </w:p>
        </w:tc>
        <w:tc>
          <w:tcPr>
            <w:tcW w:type="dxa" w:w="3402"/>
            <w:vAlign w:val="center"/>
          </w:tcPr>
          <w:p>
            <w:r/>
            <w:r>
              <w:rPr>
                <w:rFonts w:ascii="Calibri" w:hAnsi="Calibri"/>
                <w:sz w:val="19"/>
              </w:rPr>
              <w:t>Build orchestration layer</w:t>
            </w:r>
          </w:p>
        </w:tc>
      </w:tr>
      <w:tr>
        <w:tc>
          <w:tcPr>
            <w:tcW w:type="dxa" w:w="2268"/>
            <w:shd w:val="clear" w:color="auto" w:fill="F4F6F9"/>
            <w:vAlign w:val="center"/>
          </w:tcPr>
          <w:p>
            <w:r/>
            <w:r>
              <w:rPr>
                <w:rFonts w:ascii="Calibri" w:hAnsi="Calibri"/>
                <w:sz w:val="19"/>
              </w:rPr>
              <w:t>Country MDs</w:t>
            </w:r>
          </w:p>
        </w:tc>
        <w:tc>
          <w:tcPr>
            <w:tcW w:type="dxa" w:w="1417"/>
            <w:shd w:val="clear" w:color="auto" w:fill="F4F6F9"/>
            <w:vAlign w:val="center"/>
          </w:tcPr>
          <w:p>
            <w:r/>
            <w:r>
              <w:rPr>
                <w:rFonts w:ascii="Calibri" w:hAnsi="Calibri"/>
                <w:sz w:val="19"/>
              </w:rPr>
              <w:t>2 (PL + CY)</w:t>
            </w:r>
          </w:p>
        </w:tc>
        <w:tc>
          <w:tcPr>
            <w:tcW w:type="dxa" w:w="1701"/>
            <w:shd w:val="clear" w:color="auto" w:fill="F4F6F9"/>
            <w:vAlign w:val="center"/>
          </w:tcPr>
          <w:p>
            <w:r/>
            <w:r>
              <w:rPr>
                <w:rFonts w:ascii="Calibri" w:hAnsi="Calibri"/>
                <w:sz w:val="19"/>
              </w:rPr>
              <w:t>Country offices</w:t>
            </w:r>
          </w:p>
        </w:tc>
        <w:tc>
          <w:tcPr>
            <w:tcW w:type="dxa" w:w="3402"/>
            <w:shd w:val="clear" w:color="auto" w:fill="F4F6F9"/>
            <w:vAlign w:val="center"/>
          </w:tcPr>
          <w:p>
            <w:r/>
            <w:r>
              <w:rPr>
                <w:rFonts w:ascii="Calibri" w:hAnsi="Calibri"/>
                <w:sz w:val="19"/>
              </w:rPr>
              <w:t>Run local P&amp;L, retain client books</w:t>
            </w:r>
          </w:p>
        </w:tc>
      </w:tr>
      <w:tr>
        <w:tc>
          <w:tcPr>
            <w:tcW w:type="dxa" w:w="2268"/>
            <w:vAlign w:val="center"/>
          </w:tcPr>
          <w:p>
            <w:r/>
            <w:r>
              <w:rPr>
                <w:rFonts w:ascii="Calibri" w:hAnsi="Calibri"/>
                <w:sz w:val="19"/>
              </w:rPr>
              <w:t>Acquired-practice staff</w:t>
            </w:r>
          </w:p>
        </w:tc>
        <w:tc>
          <w:tcPr>
            <w:tcW w:type="dxa" w:w="1417"/>
            <w:vAlign w:val="center"/>
          </w:tcPr>
          <w:p>
            <w:r/>
            <w:r>
              <w:rPr>
                <w:rFonts w:ascii="Calibri" w:hAnsi="Calibri"/>
                <w:sz w:val="19"/>
              </w:rPr>
              <w:t>~120 by Y2</w:t>
            </w:r>
          </w:p>
        </w:tc>
        <w:tc>
          <w:tcPr>
            <w:tcW w:type="dxa" w:w="1701"/>
            <w:vAlign w:val="center"/>
          </w:tcPr>
          <w:p>
            <w:r/>
            <w:r>
              <w:rPr>
                <w:rFonts w:ascii="Calibri" w:hAnsi="Calibri"/>
                <w:sz w:val="19"/>
              </w:rPr>
              <w:t>Across PL/CY/IT</w:t>
            </w:r>
          </w:p>
        </w:tc>
        <w:tc>
          <w:tcPr>
            <w:tcW w:type="dxa" w:w="3402"/>
            <w:vAlign w:val="center"/>
          </w:tcPr>
          <w:p>
            <w:r/>
            <w:r>
              <w:rPr>
                <w:rFonts w:ascii="Calibri" w:hAnsi="Calibri"/>
                <w:sz w:val="19"/>
              </w:rPr>
              <w:t>Inherited from deals</w:t>
            </w:r>
          </w:p>
        </w:tc>
      </w:tr>
    </w:tbl>
    <w:p>
      <w:pPr>
        <w:spacing w:before="280" w:after="80"/>
      </w:pPr>
      <w:r>
        <w:rPr>
          <w:rFonts w:ascii="Calibri" w:hAnsi="Calibri"/>
          <w:b/>
          <w:color w:val="1F3A5F"/>
          <w:sz w:val="28"/>
        </w:rPr>
        <w:t>5.3  Unit economics by acquired practice</w:t>
      </w:r>
    </w:p>
    <w:p>
      <w:pPr>
        <w:spacing w:after="80" w:line="300" w:lineRule="auto"/>
      </w:pPr>
      <w:r>
        <w:rPr>
          <w:rFonts w:ascii="Calibri" w:hAnsi="Calibri"/>
          <w:b w:val="0"/>
          <w:i w:val="0"/>
          <w:color w:val="101010"/>
          <w:sz w:val="21"/>
        </w:rPr>
        <w:t>Standard practice at acquisition: €1.8M revenue, 19% EBITDA margin = €342k EBITDA, 22 FTE.</w:t>
      </w:r>
    </w:p>
    <w:p>
      <w:pPr>
        <w:spacing w:after="80" w:line="300" w:lineRule="auto"/>
      </w:pPr>
      <w:r>
        <w:rPr>
          <w:rFonts w:ascii="Calibri" w:hAnsi="Calibri"/>
          <w:b w:val="0"/>
          <w:i w:val="0"/>
          <w:color w:val="101010"/>
          <w:sz w:val="21"/>
        </w:rPr>
        <w:t>After 12 months of AI overlay:</w:t>
      </w:r>
    </w:p>
    <w:p>
      <w:pPr>
        <w:pStyle w:val="ListBullet"/>
        <w:spacing w:after="40" w:line="288" w:lineRule="auto"/>
      </w:pPr>
      <w:r>
        <w:rPr>
          <w:rFonts w:ascii="Calibri" w:hAnsi="Calibri"/>
          <w:sz w:val="21"/>
        </w:rPr>
        <w:t>Revenue: +6–10% pricing uplift (premium pricing for AI-enabled service tier).</w:t>
      </w:r>
    </w:p>
    <w:p>
      <w:pPr>
        <w:pStyle w:val="ListBullet"/>
        <w:spacing w:after="40" w:line="288" w:lineRule="auto"/>
      </w:pPr>
      <w:r>
        <w:rPr>
          <w:rFonts w:ascii="Calibri" w:hAnsi="Calibri"/>
          <w:sz w:val="21"/>
        </w:rPr>
        <w:t>COGS: −18–24% from labor compression (junior bookkeeper hours down 60–70%, redeployed or attritioned).</w:t>
      </w:r>
    </w:p>
    <w:p>
      <w:pPr>
        <w:pStyle w:val="ListBullet"/>
        <w:spacing w:after="40" w:line="288" w:lineRule="auto"/>
      </w:pPr>
      <w:r>
        <w:rPr>
          <w:rFonts w:ascii="Calibri" w:hAnsi="Calibri"/>
          <w:sz w:val="21"/>
        </w:rPr>
        <w:t>EBITDA margin: 19% → 27–30% by end of Year 2 post-acquisition.</w:t>
      </w:r>
    </w:p>
    <w:p>
      <w:pPr>
        <w:pStyle w:val="ListBullet"/>
        <w:spacing w:after="40" w:line="288" w:lineRule="auto"/>
      </w:pPr>
      <w:r>
        <w:rPr>
          <w:rFonts w:ascii="Calibri" w:hAnsi="Calibri"/>
          <w:sz w:val="21"/>
        </w:rPr>
        <w:t>Net working capital: improved DSO (-5 to -10 days) from automated invoice chasing.</w:t>
      </w:r>
    </w:p>
    <w:p>
      <w:r>
        <w:br w:type="page"/>
      </w:r>
    </w:p>
    <w:p>
      <w:pPr>
        <w:spacing w:before="360" w:after="120"/>
      </w:pPr>
      <w:r>
        <w:rPr>
          <w:rFonts w:ascii="Calibri" w:hAnsi="Calibri"/>
          <w:b/>
          <w:color w:val="1F3A5F"/>
          <w:sz w:val="40"/>
        </w:rPr>
        <w:t>6. M&amp;A Playbook</w:t>
      </w:r>
    </w:p>
    <w:p>
      <w:pPr>
        <w:spacing w:before="280" w:after="80"/>
      </w:pPr>
      <w:r>
        <w:rPr>
          <w:rFonts w:ascii="Calibri" w:hAnsi="Calibri"/>
          <w:b/>
          <w:color w:val="1F3A5F"/>
          <w:sz w:val="28"/>
        </w:rPr>
        <w:t>6.1  Target screen</w:t>
      </w:r>
    </w:p>
    <w:p>
      <w:pPr>
        <w:spacing w:after="80" w:line="300" w:lineRule="auto"/>
      </w:pPr>
      <w:r>
        <w:rPr>
          <w:rFonts w:ascii="Calibri" w:hAnsi="Calibri"/>
          <w:b w:val="0"/>
          <w:i w:val="0"/>
          <w:color w:val="101010"/>
          <w:sz w:val="21"/>
        </w:rPr>
        <w:t>Hard filters (target must pass all):</w:t>
      </w:r>
    </w:p>
    <w:p>
      <w:pPr>
        <w:pStyle w:val="ListBullet"/>
        <w:spacing w:after="40" w:line="288" w:lineRule="auto"/>
      </w:pPr>
      <w:r>
        <w:rPr>
          <w:rFonts w:ascii="Calibri" w:hAnsi="Calibri"/>
          <w:sz w:val="21"/>
        </w:rPr>
        <w:t>€0.8M–€5M revenue (sweet spot €1.5–3M)</w:t>
      </w:r>
    </w:p>
    <w:p>
      <w:pPr>
        <w:pStyle w:val="ListBullet"/>
        <w:spacing w:after="40" w:line="288" w:lineRule="auto"/>
      </w:pPr>
      <w:r>
        <w:rPr>
          <w:rFonts w:ascii="Calibri" w:hAnsi="Calibri"/>
          <w:sz w:val="21"/>
        </w:rPr>
        <w:t>≥15% EBITDA margin LTM, ≥12% prior 2 years</w:t>
      </w:r>
    </w:p>
    <w:p>
      <w:pPr>
        <w:pStyle w:val="ListBullet"/>
        <w:spacing w:after="40" w:line="288" w:lineRule="auto"/>
      </w:pPr>
      <w:r>
        <w:rPr>
          <w:rFonts w:ascii="Calibri" w:hAnsi="Calibri"/>
          <w:sz w:val="21"/>
        </w:rPr>
        <w:t>&lt;10% customer concentration (no client &gt;10% of revenue)</w:t>
      </w:r>
    </w:p>
    <w:p>
      <w:pPr>
        <w:pStyle w:val="ListBullet"/>
        <w:spacing w:after="40" w:line="288" w:lineRule="auto"/>
      </w:pPr>
      <w:r>
        <w:rPr>
          <w:rFonts w:ascii="Calibri" w:hAnsi="Calibri"/>
          <w:sz w:val="21"/>
        </w:rPr>
        <w:t>&gt;80% recurring (monthly / quarterly) revenue, not project-based</w:t>
      </w:r>
    </w:p>
    <w:p>
      <w:pPr>
        <w:pStyle w:val="ListBullet"/>
        <w:spacing w:after="40" w:line="288" w:lineRule="auto"/>
      </w:pPr>
      <w:r>
        <w:rPr>
          <w:rFonts w:ascii="Calibri" w:hAnsi="Calibri"/>
          <w:sz w:val="21"/>
        </w:rPr>
        <w:t>Founder-led, 50+ years old OR succession-driven sale</w:t>
      </w:r>
    </w:p>
    <w:p>
      <w:pPr>
        <w:pStyle w:val="ListBullet"/>
        <w:spacing w:after="40" w:line="288" w:lineRule="auto"/>
      </w:pPr>
      <w:r>
        <w:rPr>
          <w:rFonts w:ascii="Calibri" w:hAnsi="Calibri"/>
          <w:sz w:val="21"/>
        </w:rPr>
        <w:t>Clean tax / legal record (no live disputes, no regulatory sanctions)</w:t>
      </w:r>
    </w:p>
    <w:p>
      <w:pPr>
        <w:pStyle w:val="ListBullet"/>
        <w:spacing w:after="40" w:line="288" w:lineRule="auto"/>
      </w:pPr>
      <w:r>
        <w:rPr>
          <w:rFonts w:ascii="Calibri" w:hAnsi="Calibri"/>
          <w:sz w:val="21"/>
        </w:rPr>
        <w:t>General-ledger / bookkeeping / payroll focus (NO statutory audit, NO pure tax advisory)</w:t>
      </w:r>
    </w:p>
    <w:p>
      <w:pPr>
        <w:spacing w:after="80" w:line="300" w:lineRule="auto"/>
      </w:pPr>
      <w:r>
        <w:rPr>
          <w:rFonts w:ascii="Calibri" w:hAnsi="Calibri"/>
          <w:b w:val="0"/>
          <w:i w:val="0"/>
          <w:color w:val="101010"/>
          <w:sz w:val="21"/>
        </w:rPr>
        <w:t>Soft preferences (boost score):</w:t>
      </w:r>
    </w:p>
    <w:p>
      <w:pPr>
        <w:pStyle w:val="ListBullet"/>
        <w:spacing w:after="40" w:line="288" w:lineRule="auto"/>
      </w:pPr>
      <w:r>
        <w:rPr>
          <w:rFonts w:ascii="Calibri" w:hAnsi="Calibri"/>
          <w:sz w:val="21"/>
        </w:rPr>
        <w:t>Already using cloud accounting (Comarch Optima, Fakturownia, TeamSystem Polyedro)</w:t>
      </w:r>
    </w:p>
    <w:p>
      <w:pPr>
        <w:pStyle w:val="ListBullet"/>
        <w:spacing w:after="40" w:line="288" w:lineRule="auto"/>
      </w:pPr>
      <w:r>
        <w:rPr>
          <w:rFonts w:ascii="Calibri" w:hAnsi="Calibri"/>
          <w:sz w:val="21"/>
        </w:rPr>
        <w:t>Multi-location practice with consolidated back office</w:t>
      </w:r>
    </w:p>
    <w:p>
      <w:pPr>
        <w:pStyle w:val="ListBullet"/>
        <w:spacing w:after="40" w:line="288" w:lineRule="auto"/>
      </w:pPr>
      <w:r>
        <w:rPr>
          <w:rFonts w:ascii="Calibri" w:hAnsi="Calibri"/>
          <w:sz w:val="21"/>
        </w:rPr>
        <w:t>Seller willing to stay 12–24 months as Country MD or senior advisor</w:t>
      </w:r>
    </w:p>
    <w:p>
      <w:pPr>
        <w:pStyle w:val="ListBullet"/>
        <w:spacing w:after="40" w:line="288" w:lineRule="auto"/>
      </w:pPr>
      <w:r>
        <w:rPr>
          <w:rFonts w:ascii="Calibri" w:hAnsi="Calibri"/>
          <w:sz w:val="21"/>
        </w:rPr>
        <w:t>Pre-existing relationships with banks / payroll providers / payment processors</w:t>
      </w:r>
    </w:p>
    <w:p>
      <w:pPr>
        <w:spacing w:before="280" w:after="80"/>
      </w:pPr>
      <w:r>
        <w:rPr>
          <w:rFonts w:ascii="Calibri" w:hAnsi="Calibri"/>
          <w:b/>
          <w:color w:val="1F3A5F"/>
          <w:sz w:val="28"/>
        </w:rPr>
        <w:t>6.2  Deal structure standard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984"/>
            <w:shd w:val="clear" w:color="auto" w:fill="1F3A5F"/>
            <w:vAlign w:val="center"/>
          </w:tcPr>
          <w:p>
            <w:r/>
            <w:r>
              <w:rPr>
                <w:rFonts w:ascii="Calibri" w:hAnsi="Calibri"/>
                <w:b/>
                <w:color w:val="FFFFFF"/>
                <w:sz w:val="20"/>
              </w:rPr>
              <w:t>Component</w:t>
            </w:r>
          </w:p>
        </w:tc>
        <w:tc>
          <w:tcPr>
            <w:tcW w:type="dxa" w:w="3118"/>
            <w:shd w:val="clear" w:color="auto" w:fill="1F3A5F"/>
            <w:vAlign w:val="center"/>
          </w:tcPr>
          <w:p>
            <w:r/>
            <w:r>
              <w:rPr>
                <w:rFonts w:ascii="Calibri" w:hAnsi="Calibri"/>
                <w:b/>
                <w:color w:val="FFFFFF"/>
                <w:sz w:val="20"/>
              </w:rPr>
              <w:t>Standard term</w:t>
            </w:r>
          </w:p>
        </w:tc>
        <w:tc>
          <w:tcPr>
            <w:tcW w:type="dxa" w:w="3685"/>
            <w:shd w:val="clear" w:color="auto" w:fill="1F3A5F"/>
            <w:vAlign w:val="center"/>
          </w:tcPr>
          <w:p>
            <w:r/>
            <w:r>
              <w:rPr>
                <w:rFonts w:ascii="Calibri" w:hAnsi="Calibri"/>
                <w:b/>
                <w:color w:val="FFFFFF"/>
                <w:sz w:val="20"/>
              </w:rPr>
              <w:t>Rationale</w:t>
            </w:r>
          </w:p>
        </w:tc>
      </w:tr>
      <w:tr>
        <w:tc>
          <w:tcPr>
            <w:tcW w:type="dxa" w:w="1984"/>
            <w:vAlign w:val="center"/>
          </w:tcPr>
          <w:p>
            <w:r/>
            <w:r>
              <w:rPr>
                <w:rFonts w:ascii="Calibri" w:hAnsi="Calibri"/>
                <w:sz w:val="19"/>
              </w:rPr>
              <w:t>Multiple</w:t>
            </w:r>
          </w:p>
        </w:tc>
        <w:tc>
          <w:tcPr>
            <w:tcW w:type="dxa" w:w="3118"/>
            <w:vAlign w:val="center"/>
          </w:tcPr>
          <w:p>
            <w:r/>
            <w:r>
              <w:rPr>
                <w:rFonts w:ascii="Calibri" w:hAnsi="Calibri"/>
                <w:sz w:val="19"/>
              </w:rPr>
              <w:t>3.5–4.5× LTM EBITDA</w:t>
            </w:r>
          </w:p>
        </w:tc>
        <w:tc>
          <w:tcPr>
            <w:tcW w:type="dxa" w:w="3685"/>
            <w:vAlign w:val="center"/>
          </w:tcPr>
          <w:p>
            <w:r/>
            <w:r>
              <w:rPr>
                <w:rFonts w:ascii="Calibri" w:hAnsi="Calibri"/>
                <w:sz w:val="19"/>
              </w:rPr>
              <w:t>Below Visma's €5M+ threshold</w:t>
            </w:r>
          </w:p>
        </w:tc>
      </w:tr>
      <w:tr>
        <w:tc>
          <w:tcPr>
            <w:tcW w:type="dxa" w:w="1984"/>
            <w:shd w:val="clear" w:color="auto" w:fill="F4F6F9"/>
            <w:vAlign w:val="center"/>
          </w:tcPr>
          <w:p>
            <w:r/>
            <w:r>
              <w:rPr>
                <w:rFonts w:ascii="Calibri" w:hAnsi="Calibri"/>
                <w:sz w:val="19"/>
              </w:rPr>
              <w:t>Cash at close</w:t>
            </w:r>
          </w:p>
        </w:tc>
        <w:tc>
          <w:tcPr>
            <w:tcW w:type="dxa" w:w="3118"/>
            <w:shd w:val="clear" w:color="auto" w:fill="F4F6F9"/>
            <w:vAlign w:val="center"/>
          </w:tcPr>
          <w:p>
            <w:r/>
            <w:r>
              <w:rPr>
                <w:rFonts w:ascii="Calibri" w:hAnsi="Calibri"/>
                <w:sz w:val="19"/>
              </w:rPr>
              <w:t>70–80% of EV</w:t>
            </w:r>
          </w:p>
        </w:tc>
        <w:tc>
          <w:tcPr>
            <w:tcW w:type="dxa" w:w="3685"/>
            <w:shd w:val="clear" w:color="auto" w:fill="F4F6F9"/>
            <w:vAlign w:val="center"/>
          </w:tcPr>
          <w:p>
            <w:r/>
            <w:r>
              <w:rPr>
                <w:rFonts w:ascii="Calibri" w:hAnsi="Calibri"/>
                <w:sz w:val="19"/>
              </w:rPr>
              <w:t>Concentrated payout</w:t>
            </w:r>
          </w:p>
        </w:tc>
      </w:tr>
      <w:tr>
        <w:tc>
          <w:tcPr>
            <w:tcW w:type="dxa" w:w="1984"/>
            <w:vAlign w:val="center"/>
          </w:tcPr>
          <w:p>
            <w:r/>
            <w:r>
              <w:rPr>
                <w:rFonts w:ascii="Calibri" w:hAnsi="Calibri"/>
                <w:sz w:val="19"/>
              </w:rPr>
              <w:t>Earnout</w:t>
            </w:r>
          </w:p>
        </w:tc>
        <w:tc>
          <w:tcPr>
            <w:tcW w:type="dxa" w:w="3118"/>
            <w:vAlign w:val="center"/>
          </w:tcPr>
          <w:p>
            <w:r/>
            <w:r>
              <w:rPr>
                <w:rFonts w:ascii="Calibri" w:hAnsi="Calibri"/>
                <w:sz w:val="19"/>
              </w:rPr>
              <w:t>20–30% over 24 months</w:t>
            </w:r>
          </w:p>
        </w:tc>
        <w:tc>
          <w:tcPr>
            <w:tcW w:type="dxa" w:w="3685"/>
            <w:vAlign w:val="center"/>
          </w:tcPr>
          <w:p>
            <w:r/>
            <w:r>
              <w:rPr>
                <w:rFonts w:ascii="Calibri" w:hAnsi="Calibri"/>
                <w:sz w:val="19"/>
              </w:rPr>
              <w:t>Aligned to revenue retention and gross margin</w:t>
            </w:r>
          </w:p>
        </w:tc>
      </w:tr>
      <w:tr>
        <w:tc>
          <w:tcPr>
            <w:tcW w:type="dxa" w:w="1984"/>
            <w:shd w:val="clear" w:color="auto" w:fill="F4F6F9"/>
            <w:vAlign w:val="center"/>
          </w:tcPr>
          <w:p>
            <w:r/>
            <w:r>
              <w:rPr>
                <w:rFonts w:ascii="Calibri" w:hAnsi="Calibri"/>
                <w:sz w:val="19"/>
              </w:rPr>
              <w:t>Seller stay</w:t>
            </w:r>
          </w:p>
        </w:tc>
        <w:tc>
          <w:tcPr>
            <w:tcW w:type="dxa" w:w="3118"/>
            <w:shd w:val="clear" w:color="auto" w:fill="F4F6F9"/>
            <w:vAlign w:val="center"/>
          </w:tcPr>
          <w:p>
            <w:r/>
            <w:r>
              <w:rPr>
                <w:rFonts w:ascii="Calibri" w:hAnsi="Calibri"/>
                <w:sz w:val="19"/>
              </w:rPr>
              <w:t>12–24 months</w:t>
            </w:r>
          </w:p>
        </w:tc>
        <w:tc>
          <w:tcPr>
            <w:tcW w:type="dxa" w:w="3685"/>
            <w:shd w:val="clear" w:color="auto" w:fill="F4F6F9"/>
            <w:vAlign w:val="center"/>
          </w:tcPr>
          <w:p>
            <w:r/>
            <w:r>
              <w:rPr>
                <w:rFonts w:ascii="Calibri" w:hAnsi="Calibri"/>
                <w:sz w:val="19"/>
              </w:rPr>
              <w:t>Retain key client relationships during integration</w:t>
            </w:r>
          </w:p>
        </w:tc>
      </w:tr>
      <w:tr>
        <w:tc>
          <w:tcPr>
            <w:tcW w:type="dxa" w:w="1984"/>
            <w:vAlign w:val="center"/>
          </w:tcPr>
          <w:p>
            <w:r/>
            <w:r>
              <w:rPr>
                <w:rFonts w:ascii="Calibri" w:hAnsi="Calibri"/>
                <w:sz w:val="19"/>
              </w:rPr>
              <w:t>Non-compete</w:t>
            </w:r>
          </w:p>
        </w:tc>
        <w:tc>
          <w:tcPr>
            <w:tcW w:type="dxa" w:w="3118"/>
            <w:vAlign w:val="center"/>
          </w:tcPr>
          <w:p>
            <w:r/>
            <w:r>
              <w:rPr>
                <w:rFonts w:ascii="Calibri" w:hAnsi="Calibri"/>
                <w:sz w:val="19"/>
              </w:rPr>
              <w:t>4 years, EU-wide</w:t>
            </w:r>
          </w:p>
        </w:tc>
        <w:tc>
          <w:tcPr>
            <w:tcW w:type="dxa" w:w="3685"/>
            <w:vAlign w:val="center"/>
          </w:tcPr>
          <w:p>
            <w:r/>
            <w:r>
              <w:rPr>
                <w:rFonts w:ascii="Calibri" w:hAnsi="Calibri"/>
                <w:sz w:val="19"/>
              </w:rPr>
              <w:t>Standard PE term</w:t>
            </w:r>
          </w:p>
        </w:tc>
      </w:tr>
      <w:tr>
        <w:tc>
          <w:tcPr>
            <w:tcW w:type="dxa" w:w="1984"/>
            <w:shd w:val="clear" w:color="auto" w:fill="F4F6F9"/>
            <w:vAlign w:val="center"/>
          </w:tcPr>
          <w:p>
            <w:r/>
            <w:r>
              <w:rPr>
                <w:rFonts w:ascii="Calibri" w:hAnsi="Calibri"/>
                <w:sz w:val="19"/>
              </w:rPr>
              <w:t>Working capital target</w:t>
            </w:r>
          </w:p>
        </w:tc>
        <w:tc>
          <w:tcPr>
            <w:tcW w:type="dxa" w:w="3118"/>
            <w:shd w:val="clear" w:color="auto" w:fill="F4F6F9"/>
            <w:vAlign w:val="center"/>
          </w:tcPr>
          <w:p>
            <w:r/>
            <w:r>
              <w:rPr>
                <w:rFonts w:ascii="Calibri" w:hAnsi="Calibri"/>
                <w:sz w:val="19"/>
              </w:rPr>
              <w:t>Normalized to 30-day median</w:t>
            </w:r>
          </w:p>
        </w:tc>
        <w:tc>
          <w:tcPr>
            <w:tcW w:type="dxa" w:w="3685"/>
            <w:shd w:val="clear" w:color="auto" w:fill="F4F6F9"/>
            <w:vAlign w:val="center"/>
          </w:tcPr>
          <w:p>
            <w:r/>
            <w:r>
              <w:rPr>
                <w:rFonts w:ascii="Calibri" w:hAnsi="Calibri"/>
                <w:sz w:val="19"/>
              </w:rPr>
              <w:t>Caps post-close adjustments</w:t>
            </w:r>
          </w:p>
        </w:tc>
      </w:tr>
      <w:tr>
        <w:tc>
          <w:tcPr>
            <w:tcW w:type="dxa" w:w="1984"/>
            <w:vAlign w:val="center"/>
          </w:tcPr>
          <w:p>
            <w:r/>
            <w:r>
              <w:rPr>
                <w:rFonts w:ascii="Calibri" w:hAnsi="Calibri"/>
                <w:sz w:val="19"/>
              </w:rPr>
              <w:t>Reps &amp; warranties</w:t>
            </w:r>
          </w:p>
        </w:tc>
        <w:tc>
          <w:tcPr>
            <w:tcW w:type="dxa" w:w="3118"/>
            <w:vAlign w:val="center"/>
          </w:tcPr>
          <w:p>
            <w:r/>
            <w:r>
              <w:rPr>
                <w:rFonts w:ascii="Calibri" w:hAnsi="Calibri"/>
                <w:sz w:val="19"/>
              </w:rPr>
              <w:t>12 months, capped at 20% EV</w:t>
            </w:r>
          </w:p>
        </w:tc>
        <w:tc>
          <w:tcPr>
            <w:tcW w:type="dxa" w:w="3685"/>
            <w:vAlign w:val="center"/>
          </w:tcPr>
          <w:p>
            <w:r/>
            <w:r>
              <w:rPr>
                <w:rFonts w:ascii="Calibri" w:hAnsi="Calibri"/>
                <w:sz w:val="19"/>
              </w:rPr>
              <w:t>Standard insurance-backed</w:t>
            </w:r>
          </w:p>
        </w:tc>
      </w:tr>
      <w:tr>
        <w:tc>
          <w:tcPr>
            <w:tcW w:type="dxa" w:w="1984"/>
            <w:shd w:val="clear" w:color="auto" w:fill="F4F6F9"/>
            <w:vAlign w:val="center"/>
          </w:tcPr>
          <w:p>
            <w:r/>
            <w:r>
              <w:rPr>
                <w:rFonts w:ascii="Calibri" w:hAnsi="Calibri"/>
                <w:sz w:val="19"/>
              </w:rPr>
              <w:t>Closing conditions</w:t>
            </w:r>
          </w:p>
        </w:tc>
        <w:tc>
          <w:tcPr>
            <w:tcW w:type="dxa" w:w="3118"/>
            <w:shd w:val="clear" w:color="auto" w:fill="F4F6F9"/>
            <w:vAlign w:val="center"/>
          </w:tcPr>
          <w:p>
            <w:r/>
            <w:r>
              <w:rPr>
                <w:rFonts w:ascii="Calibri" w:hAnsi="Calibri"/>
                <w:sz w:val="19"/>
              </w:rPr>
              <w:t>Top-5 client renewal certificates</w:t>
            </w:r>
          </w:p>
        </w:tc>
        <w:tc>
          <w:tcPr>
            <w:tcW w:type="dxa" w:w="3685"/>
            <w:shd w:val="clear" w:color="auto" w:fill="F4F6F9"/>
            <w:vAlign w:val="center"/>
          </w:tcPr>
          <w:p>
            <w:r/>
            <w:r>
              <w:rPr>
                <w:rFonts w:ascii="Calibri" w:hAnsi="Calibri"/>
                <w:sz w:val="19"/>
              </w:rPr>
              <w:t>Forces seller to retain core book</w:t>
            </w:r>
          </w:p>
        </w:tc>
      </w:tr>
    </w:tbl>
    <w:p>
      <w:pPr>
        <w:spacing w:before="280" w:after="80"/>
      </w:pPr>
      <w:r>
        <w:rPr>
          <w:rFonts w:ascii="Calibri" w:hAnsi="Calibri"/>
          <w:b/>
          <w:color w:val="1F3A5F"/>
          <w:sz w:val="28"/>
        </w:rPr>
        <w:t>6.3  Due diligence checklist</w:t>
      </w:r>
    </w:p>
    <w:p>
      <w:pPr>
        <w:spacing w:before="200" w:after="40"/>
      </w:pPr>
      <w:r>
        <w:rPr>
          <w:rFonts w:ascii="Calibri" w:hAnsi="Calibri"/>
          <w:b/>
          <w:color w:val="FF6B35"/>
          <w:sz w:val="23"/>
        </w:rPr>
        <w:t>Commercial DD</w:t>
      </w:r>
    </w:p>
    <w:p>
      <w:pPr>
        <w:pStyle w:val="ListBullet"/>
        <w:spacing w:after="40" w:line="288" w:lineRule="auto"/>
      </w:pPr>
      <w:r>
        <w:rPr>
          <w:rFonts w:ascii="Calibri" w:hAnsi="Calibri"/>
          <w:sz w:val="21"/>
        </w:rPr>
        <w:t>Top-20 client list with revenue + tenure + GM by client</w:t>
      </w:r>
    </w:p>
    <w:p>
      <w:pPr>
        <w:pStyle w:val="ListBullet"/>
        <w:spacing w:after="40" w:line="288" w:lineRule="auto"/>
      </w:pPr>
      <w:r>
        <w:rPr>
          <w:rFonts w:ascii="Calibri" w:hAnsi="Calibri"/>
          <w:sz w:val="21"/>
        </w:rPr>
        <w:t>Client churn analysis last 3 years</w:t>
      </w:r>
    </w:p>
    <w:p>
      <w:pPr>
        <w:pStyle w:val="ListBullet"/>
        <w:spacing w:after="40" w:line="288" w:lineRule="auto"/>
      </w:pPr>
      <w:r>
        <w:rPr>
          <w:rFonts w:ascii="Calibri" w:hAnsi="Calibri"/>
          <w:sz w:val="21"/>
        </w:rPr>
        <w:t>Pricing waterfall vs. local market</w:t>
      </w:r>
    </w:p>
    <w:p>
      <w:pPr>
        <w:pStyle w:val="ListBullet"/>
        <w:spacing w:after="40" w:line="288" w:lineRule="auto"/>
      </w:pPr>
      <w:r>
        <w:rPr>
          <w:rFonts w:ascii="Calibri" w:hAnsi="Calibri"/>
          <w:sz w:val="21"/>
        </w:rPr>
        <w:t>New-business pipeline + win rate</w:t>
      </w:r>
    </w:p>
    <w:p>
      <w:pPr>
        <w:spacing w:before="200" w:after="40"/>
      </w:pPr>
      <w:r>
        <w:rPr>
          <w:rFonts w:ascii="Calibri" w:hAnsi="Calibri"/>
          <w:b/>
          <w:color w:val="FF6B35"/>
          <w:sz w:val="23"/>
        </w:rPr>
        <w:t>Financial DD</w:t>
      </w:r>
    </w:p>
    <w:p>
      <w:pPr>
        <w:pStyle w:val="ListBullet"/>
        <w:spacing w:after="40" w:line="288" w:lineRule="auto"/>
      </w:pPr>
      <w:r>
        <w:rPr>
          <w:rFonts w:ascii="Calibri" w:hAnsi="Calibri"/>
          <w:sz w:val="21"/>
        </w:rPr>
        <w:t>Quality of earnings (last 3 years + LTM)</w:t>
      </w:r>
    </w:p>
    <w:p>
      <w:pPr>
        <w:pStyle w:val="ListBullet"/>
        <w:spacing w:after="40" w:line="288" w:lineRule="auto"/>
      </w:pPr>
      <w:r>
        <w:rPr>
          <w:rFonts w:ascii="Calibri" w:hAnsi="Calibri"/>
          <w:sz w:val="21"/>
        </w:rPr>
        <w:t>Working capital normalization</w:t>
      </w:r>
    </w:p>
    <w:p>
      <w:pPr>
        <w:pStyle w:val="ListBullet"/>
        <w:spacing w:after="40" w:line="288" w:lineRule="auto"/>
      </w:pPr>
      <w:r>
        <w:rPr>
          <w:rFonts w:ascii="Calibri" w:hAnsi="Calibri"/>
          <w:sz w:val="21"/>
        </w:rPr>
        <w:t>Off-balance-sheet items (leases, loans, related-party)</w:t>
      </w:r>
    </w:p>
    <w:p>
      <w:pPr>
        <w:pStyle w:val="ListBullet"/>
        <w:spacing w:after="40" w:line="288" w:lineRule="auto"/>
      </w:pPr>
      <w:r>
        <w:rPr>
          <w:rFonts w:ascii="Calibri" w:hAnsi="Calibri"/>
          <w:sz w:val="21"/>
        </w:rPr>
        <w:t>Tax position (open assessments, transfer pricing)</w:t>
      </w:r>
    </w:p>
    <w:p>
      <w:pPr>
        <w:spacing w:before="200" w:after="40"/>
      </w:pPr>
      <w:r>
        <w:rPr>
          <w:rFonts w:ascii="Calibri" w:hAnsi="Calibri"/>
          <w:b/>
          <w:color w:val="FF6B35"/>
          <w:sz w:val="23"/>
        </w:rPr>
        <w:t>Operational DD</w:t>
      </w:r>
    </w:p>
    <w:p>
      <w:pPr>
        <w:pStyle w:val="ListBullet"/>
        <w:spacing w:after="40" w:line="288" w:lineRule="auto"/>
      </w:pPr>
      <w:r>
        <w:rPr>
          <w:rFonts w:ascii="Calibri" w:hAnsi="Calibri"/>
          <w:sz w:val="21"/>
        </w:rPr>
        <w:t>Software stack and licensing terms</w:t>
      </w:r>
    </w:p>
    <w:p>
      <w:pPr>
        <w:pStyle w:val="ListBullet"/>
        <w:spacing w:after="40" w:line="288" w:lineRule="auto"/>
      </w:pPr>
      <w:r>
        <w:rPr>
          <w:rFonts w:ascii="Calibri" w:hAnsi="Calibri"/>
          <w:sz w:val="21"/>
        </w:rPr>
        <w:t>Process maturity (manual vs. automated entry %)</w:t>
      </w:r>
    </w:p>
    <w:p>
      <w:pPr>
        <w:pStyle w:val="ListBullet"/>
        <w:spacing w:after="40" w:line="288" w:lineRule="auto"/>
      </w:pPr>
      <w:r>
        <w:rPr>
          <w:rFonts w:ascii="Calibri" w:hAnsi="Calibri"/>
          <w:sz w:val="21"/>
        </w:rPr>
        <w:t>Staff skills inventory + retention risk</w:t>
      </w:r>
    </w:p>
    <w:p>
      <w:pPr>
        <w:pStyle w:val="ListBullet"/>
        <w:spacing w:after="40" w:line="288" w:lineRule="auto"/>
      </w:pPr>
      <w:r>
        <w:rPr>
          <w:rFonts w:ascii="Calibri" w:hAnsi="Calibri"/>
          <w:sz w:val="21"/>
        </w:rPr>
        <w:t>GDPR / data-protection compliance posture</w:t>
      </w:r>
    </w:p>
    <w:p>
      <w:pPr>
        <w:spacing w:before="200" w:after="40"/>
      </w:pPr>
      <w:r>
        <w:rPr>
          <w:rFonts w:ascii="Calibri" w:hAnsi="Calibri"/>
          <w:b/>
          <w:color w:val="FF6B35"/>
          <w:sz w:val="23"/>
        </w:rPr>
        <w:t>Legal DD</w:t>
      </w:r>
    </w:p>
    <w:p>
      <w:pPr>
        <w:pStyle w:val="ListBullet"/>
        <w:spacing w:after="40" w:line="288" w:lineRule="auto"/>
      </w:pPr>
      <w:r>
        <w:rPr>
          <w:rFonts w:ascii="Calibri" w:hAnsi="Calibri"/>
          <w:sz w:val="21"/>
        </w:rPr>
        <w:t>Corporate housekeeping (cap table, board minutes)</w:t>
      </w:r>
    </w:p>
    <w:p>
      <w:pPr>
        <w:pStyle w:val="ListBullet"/>
        <w:spacing w:after="40" w:line="288" w:lineRule="auto"/>
      </w:pPr>
      <w:r>
        <w:rPr>
          <w:rFonts w:ascii="Calibri" w:hAnsi="Calibri"/>
          <w:sz w:val="21"/>
        </w:rPr>
        <w:t>Material contracts (top-10 clients, key suppliers)</w:t>
      </w:r>
    </w:p>
    <w:p>
      <w:pPr>
        <w:pStyle w:val="ListBullet"/>
        <w:spacing w:after="40" w:line="288" w:lineRule="auto"/>
      </w:pPr>
      <w:r>
        <w:rPr>
          <w:rFonts w:ascii="Calibri" w:hAnsi="Calibri"/>
          <w:sz w:val="21"/>
        </w:rPr>
        <w:t>Litigation and threatened claims</w:t>
      </w:r>
    </w:p>
    <w:p>
      <w:pPr>
        <w:pStyle w:val="ListBullet"/>
        <w:spacing w:after="40" w:line="288" w:lineRule="auto"/>
      </w:pPr>
      <w:r>
        <w:rPr>
          <w:rFonts w:ascii="Calibri" w:hAnsi="Calibri"/>
          <w:sz w:val="21"/>
        </w:rPr>
        <w:t>Employment law (collective agreements, redundancy exposure)</w:t>
      </w:r>
    </w:p>
    <w:p>
      <w:pPr>
        <w:spacing w:before="280" w:after="80"/>
      </w:pPr>
      <w:r>
        <w:rPr>
          <w:rFonts w:ascii="Calibri" w:hAnsi="Calibri"/>
          <w:b/>
          <w:color w:val="1F3A5F"/>
          <w:sz w:val="28"/>
        </w:rPr>
        <w:t>6.4  Integration playbook — Day 30 / 90 / 180</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17"/>
            <w:shd w:val="clear" w:color="auto" w:fill="1F3A5F"/>
            <w:vAlign w:val="center"/>
          </w:tcPr>
          <w:p>
            <w:r/>
            <w:r>
              <w:rPr>
                <w:rFonts w:ascii="Calibri" w:hAnsi="Calibri"/>
                <w:b/>
                <w:color w:val="FFFFFF"/>
                <w:sz w:val="20"/>
              </w:rPr>
              <w:t>Day</w:t>
            </w:r>
          </w:p>
        </w:tc>
        <w:tc>
          <w:tcPr>
            <w:tcW w:type="dxa" w:w="2835"/>
            <w:shd w:val="clear" w:color="auto" w:fill="1F3A5F"/>
            <w:vAlign w:val="center"/>
          </w:tcPr>
          <w:p>
            <w:r/>
            <w:r>
              <w:rPr>
                <w:rFonts w:ascii="Calibri" w:hAnsi="Calibri"/>
                <w:b/>
                <w:color w:val="FFFFFF"/>
                <w:sz w:val="20"/>
              </w:rPr>
              <w:t>Workstream</w:t>
            </w:r>
          </w:p>
        </w:tc>
        <w:tc>
          <w:tcPr>
            <w:tcW w:type="dxa" w:w="1701"/>
            <w:shd w:val="clear" w:color="auto" w:fill="1F3A5F"/>
            <w:vAlign w:val="center"/>
          </w:tcPr>
          <w:p>
            <w:r/>
            <w:r>
              <w:rPr>
                <w:rFonts w:ascii="Calibri" w:hAnsi="Calibri"/>
                <w:b/>
                <w:color w:val="FFFFFF"/>
                <w:sz w:val="20"/>
              </w:rPr>
              <w:t>Owner</w:t>
            </w:r>
          </w:p>
        </w:tc>
        <w:tc>
          <w:tcPr>
            <w:tcW w:type="dxa" w:w="2551"/>
            <w:shd w:val="clear" w:color="auto" w:fill="1F3A5F"/>
            <w:vAlign w:val="center"/>
          </w:tcPr>
          <w:p>
            <w:r/>
            <w:r>
              <w:rPr>
                <w:rFonts w:ascii="Calibri" w:hAnsi="Calibri"/>
                <w:b/>
                <w:color w:val="FFFFFF"/>
                <w:sz w:val="20"/>
              </w:rPr>
              <w:t>Output</w:t>
            </w:r>
          </w:p>
        </w:tc>
      </w:tr>
      <w:tr>
        <w:tc>
          <w:tcPr>
            <w:tcW w:type="dxa" w:w="1417"/>
            <w:vAlign w:val="center"/>
          </w:tcPr>
          <w:p>
            <w:r/>
            <w:r>
              <w:rPr>
                <w:rFonts w:ascii="Calibri" w:hAnsi="Calibri"/>
                <w:sz w:val="19"/>
              </w:rPr>
              <w:t>D-1 → D+7</w:t>
            </w:r>
          </w:p>
        </w:tc>
        <w:tc>
          <w:tcPr>
            <w:tcW w:type="dxa" w:w="2835"/>
            <w:vAlign w:val="center"/>
          </w:tcPr>
          <w:p>
            <w:r/>
            <w:r>
              <w:rPr>
                <w:rFonts w:ascii="Calibri" w:hAnsi="Calibri"/>
                <w:sz w:val="19"/>
              </w:rPr>
              <w:t>Welcome week — comms to staff, clients, suppliers</w:t>
            </w:r>
          </w:p>
        </w:tc>
        <w:tc>
          <w:tcPr>
            <w:tcW w:type="dxa" w:w="1701"/>
            <w:vAlign w:val="center"/>
          </w:tcPr>
          <w:p>
            <w:r/>
            <w:r>
              <w:rPr>
                <w:rFonts w:ascii="Calibri" w:hAnsi="Calibri"/>
                <w:sz w:val="19"/>
              </w:rPr>
              <w:t>Country MD</w:t>
            </w:r>
          </w:p>
        </w:tc>
        <w:tc>
          <w:tcPr>
            <w:tcW w:type="dxa" w:w="2551"/>
            <w:vAlign w:val="center"/>
          </w:tcPr>
          <w:p>
            <w:r/>
            <w:r>
              <w:rPr>
                <w:rFonts w:ascii="Calibri" w:hAnsi="Calibri"/>
                <w:sz w:val="19"/>
              </w:rPr>
              <w:t>Retention message landed</w:t>
            </w:r>
          </w:p>
        </w:tc>
      </w:tr>
      <w:tr>
        <w:tc>
          <w:tcPr>
            <w:tcW w:type="dxa" w:w="1417"/>
            <w:shd w:val="clear" w:color="auto" w:fill="F4F6F9"/>
            <w:vAlign w:val="center"/>
          </w:tcPr>
          <w:p>
            <w:r/>
            <w:r>
              <w:rPr>
                <w:rFonts w:ascii="Calibri" w:hAnsi="Calibri"/>
                <w:sz w:val="19"/>
              </w:rPr>
              <w:t>D+30</w:t>
            </w:r>
          </w:p>
        </w:tc>
        <w:tc>
          <w:tcPr>
            <w:tcW w:type="dxa" w:w="2835"/>
            <w:shd w:val="clear" w:color="auto" w:fill="F4F6F9"/>
            <w:vAlign w:val="center"/>
          </w:tcPr>
          <w:p>
            <w:r/>
            <w:r>
              <w:rPr>
                <w:rFonts w:ascii="Calibri" w:hAnsi="Calibri"/>
                <w:sz w:val="19"/>
              </w:rPr>
              <w:t>Finance integration — chart of accounts mapped, monthly close cadence aligned</w:t>
            </w:r>
          </w:p>
        </w:tc>
        <w:tc>
          <w:tcPr>
            <w:tcW w:type="dxa" w:w="1701"/>
            <w:shd w:val="clear" w:color="auto" w:fill="F4F6F9"/>
            <w:vAlign w:val="center"/>
          </w:tcPr>
          <w:p>
            <w:r/>
            <w:r>
              <w:rPr>
                <w:rFonts w:ascii="Calibri" w:hAnsi="Calibri"/>
                <w:sz w:val="19"/>
              </w:rPr>
              <w:t>Group CFO</w:t>
            </w:r>
          </w:p>
        </w:tc>
        <w:tc>
          <w:tcPr>
            <w:tcW w:type="dxa" w:w="2551"/>
            <w:shd w:val="clear" w:color="auto" w:fill="F4F6F9"/>
            <w:vAlign w:val="center"/>
          </w:tcPr>
          <w:p>
            <w:r/>
            <w:r>
              <w:rPr>
                <w:rFonts w:ascii="Calibri" w:hAnsi="Calibri"/>
                <w:sz w:val="19"/>
              </w:rPr>
              <w:t>First consolidated close</w:t>
            </w:r>
          </w:p>
        </w:tc>
      </w:tr>
      <w:tr>
        <w:tc>
          <w:tcPr>
            <w:tcW w:type="dxa" w:w="1417"/>
            <w:vAlign w:val="center"/>
          </w:tcPr>
          <w:p>
            <w:r/>
            <w:r>
              <w:rPr>
                <w:rFonts w:ascii="Calibri" w:hAnsi="Calibri"/>
                <w:sz w:val="19"/>
              </w:rPr>
              <w:t>D+30</w:t>
            </w:r>
          </w:p>
        </w:tc>
        <w:tc>
          <w:tcPr>
            <w:tcW w:type="dxa" w:w="2835"/>
            <w:vAlign w:val="center"/>
          </w:tcPr>
          <w:p>
            <w:r/>
            <w:r>
              <w:rPr>
                <w:rFonts w:ascii="Calibri" w:hAnsi="Calibri"/>
                <w:sz w:val="19"/>
              </w:rPr>
              <w:t>HR baseline — comp benchmarking, retention plan top-10 talent</w:t>
            </w:r>
          </w:p>
        </w:tc>
        <w:tc>
          <w:tcPr>
            <w:tcW w:type="dxa" w:w="1701"/>
            <w:vAlign w:val="center"/>
          </w:tcPr>
          <w:p>
            <w:r/>
            <w:r>
              <w:rPr>
                <w:rFonts w:ascii="Calibri" w:hAnsi="Calibri"/>
                <w:sz w:val="19"/>
              </w:rPr>
              <w:t>HR / Country MD</w:t>
            </w:r>
          </w:p>
        </w:tc>
        <w:tc>
          <w:tcPr>
            <w:tcW w:type="dxa" w:w="2551"/>
            <w:vAlign w:val="center"/>
          </w:tcPr>
          <w:p>
            <w:r/>
            <w:r>
              <w:rPr>
                <w:rFonts w:ascii="Calibri" w:hAnsi="Calibri"/>
                <w:sz w:val="19"/>
              </w:rPr>
              <w:t>Talent retention list</w:t>
            </w:r>
          </w:p>
        </w:tc>
      </w:tr>
      <w:tr>
        <w:tc>
          <w:tcPr>
            <w:tcW w:type="dxa" w:w="1417"/>
            <w:shd w:val="clear" w:color="auto" w:fill="F4F6F9"/>
            <w:vAlign w:val="center"/>
          </w:tcPr>
          <w:p>
            <w:r/>
            <w:r>
              <w:rPr>
                <w:rFonts w:ascii="Calibri" w:hAnsi="Calibri"/>
                <w:sz w:val="19"/>
              </w:rPr>
              <w:t>D+60</w:t>
            </w:r>
          </w:p>
        </w:tc>
        <w:tc>
          <w:tcPr>
            <w:tcW w:type="dxa" w:w="2835"/>
            <w:shd w:val="clear" w:color="auto" w:fill="F4F6F9"/>
            <w:vAlign w:val="center"/>
          </w:tcPr>
          <w:p>
            <w:r/>
            <w:r>
              <w:rPr>
                <w:rFonts w:ascii="Calibri" w:hAnsi="Calibri"/>
                <w:sz w:val="19"/>
              </w:rPr>
              <w:t>AI overlay phase 1 — OCR + categorization deployed on 1 client pilot</w:t>
            </w:r>
          </w:p>
        </w:tc>
        <w:tc>
          <w:tcPr>
            <w:tcW w:type="dxa" w:w="1701"/>
            <w:shd w:val="clear" w:color="auto" w:fill="F4F6F9"/>
            <w:vAlign w:val="center"/>
          </w:tcPr>
          <w:p>
            <w:r/>
            <w:r>
              <w:rPr>
                <w:rFonts w:ascii="Calibri" w:hAnsi="Calibri"/>
                <w:sz w:val="19"/>
              </w:rPr>
              <w:t>Head of AI</w:t>
            </w:r>
          </w:p>
        </w:tc>
        <w:tc>
          <w:tcPr>
            <w:tcW w:type="dxa" w:w="2551"/>
            <w:shd w:val="clear" w:color="auto" w:fill="F4F6F9"/>
            <w:vAlign w:val="center"/>
          </w:tcPr>
          <w:p>
            <w:r/>
            <w:r>
              <w:rPr>
                <w:rFonts w:ascii="Calibri" w:hAnsi="Calibri"/>
                <w:sz w:val="19"/>
              </w:rPr>
              <w:t>70% auto-class. rate</w:t>
            </w:r>
          </w:p>
        </w:tc>
      </w:tr>
      <w:tr>
        <w:tc>
          <w:tcPr>
            <w:tcW w:type="dxa" w:w="1417"/>
            <w:vAlign w:val="center"/>
          </w:tcPr>
          <w:p>
            <w:r/>
            <w:r>
              <w:rPr>
                <w:rFonts w:ascii="Calibri" w:hAnsi="Calibri"/>
                <w:sz w:val="19"/>
              </w:rPr>
              <w:t>D+90</w:t>
            </w:r>
          </w:p>
        </w:tc>
        <w:tc>
          <w:tcPr>
            <w:tcW w:type="dxa" w:w="2835"/>
            <w:vAlign w:val="center"/>
          </w:tcPr>
          <w:p>
            <w:r/>
            <w:r>
              <w:rPr>
                <w:rFonts w:ascii="Calibri" w:hAnsi="Calibri"/>
                <w:sz w:val="19"/>
              </w:rPr>
              <w:t>AI overlay phase 2 — bank feed + auto-reconciliation across book</w:t>
            </w:r>
          </w:p>
        </w:tc>
        <w:tc>
          <w:tcPr>
            <w:tcW w:type="dxa" w:w="1701"/>
            <w:vAlign w:val="center"/>
          </w:tcPr>
          <w:p>
            <w:r/>
            <w:r>
              <w:rPr>
                <w:rFonts w:ascii="Calibri" w:hAnsi="Calibri"/>
                <w:sz w:val="19"/>
              </w:rPr>
              <w:t>Head of AI</w:t>
            </w:r>
          </w:p>
        </w:tc>
        <w:tc>
          <w:tcPr>
            <w:tcW w:type="dxa" w:w="2551"/>
            <w:vAlign w:val="center"/>
          </w:tcPr>
          <w:p>
            <w:r/>
            <w:r>
              <w:rPr>
                <w:rFonts w:ascii="Calibri" w:hAnsi="Calibri"/>
                <w:sz w:val="19"/>
              </w:rPr>
              <w:t>Book-wide deploy</w:t>
            </w:r>
          </w:p>
        </w:tc>
      </w:tr>
      <w:tr>
        <w:tc>
          <w:tcPr>
            <w:tcW w:type="dxa" w:w="1417"/>
            <w:shd w:val="clear" w:color="auto" w:fill="F4F6F9"/>
            <w:vAlign w:val="center"/>
          </w:tcPr>
          <w:p>
            <w:r/>
            <w:r>
              <w:rPr>
                <w:rFonts w:ascii="Calibri" w:hAnsi="Calibri"/>
                <w:sz w:val="19"/>
              </w:rPr>
              <w:t>D+90</w:t>
            </w:r>
          </w:p>
        </w:tc>
        <w:tc>
          <w:tcPr>
            <w:tcW w:type="dxa" w:w="2835"/>
            <w:shd w:val="clear" w:color="auto" w:fill="F4F6F9"/>
            <w:vAlign w:val="center"/>
          </w:tcPr>
          <w:p>
            <w:r/>
            <w:r>
              <w:rPr>
                <w:rFonts w:ascii="Calibri" w:hAnsi="Calibri"/>
                <w:sz w:val="19"/>
              </w:rPr>
              <w:t>Pricing review — premium AI-tier launched to top-20 clients</w:t>
            </w:r>
          </w:p>
        </w:tc>
        <w:tc>
          <w:tcPr>
            <w:tcW w:type="dxa" w:w="1701"/>
            <w:shd w:val="clear" w:color="auto" w:fill="F4F6F9"/>
            <w:vAlign w:val="center"/>
          </w:tcPr>
          <w:p>
            <w:r/>
            <w:r>
              <w:rPr>
                <w:rFonts w:ascii="Calibri" w:hAnsi="Calibri"/>
                <w:sz w:val="19"/>
              </w:rPr>
              <w:t>Country MD</w:t>
            </w:r>
          </w:p>
        </w:tc>
        <w:tc>
          <w:tcPr>
            <w:tcW w:type="dxa" w:w="2551"/>
            <w:shd w:val="clear" w:color="auto" w:fill="F4F6F9"/>
            <w:vAlign w:val="center"/>
          </w:tcPr>
          <w:p>
            <w:r/>
            <w:r>
              <w:rPr>
                <w:rFonts w:ascii="Calibri" w:hAnsi="Calibri"/>
                <w:sz w:val="19"/>
              </w:rPr>
              <w:t>Price uplift booked</w:t>
            </w:r>
          </w:p>
        </w:tc>
      </w:tr>
      <w:tr>
        <w:tc>
          <w:tcPr>
            <w:tcW w:type="dxa" w:w="1417"/>
            <w:vAlign w:val="center"/>
          </w:tcPr>
          <w:p>
            <w:r/>
            <w:r>
              <w:rPr>
                <w:rFonts w:ascii="Calibri" w:hAnsi="Calibri"/>
                <w:sz w:val="19"/>
              </w:rPr>
              <w:t>D+120</w:t>
            </w:r>
          </w:p>
        </w:tc>
        <w:tc>
          <w:tcPr>
            <w:tcW w:type="dxa" w:w="2835"/>
            <w:vAlign w:val="center"/>
          </w:tcPr>
          <w:p>
            <w:r/>
            <w:r>
              <w:rPr>
                <w:rFonts w:ascii="Calibri" w:hAnsi="Calibri"/>
                <w:sz w:val="19"/>
              </w:rPr>
              <w:t>Process redesign — staff redeployed from data entry to advisory</w:t>
            </w:r>
          </w:p>
        </w:tc>
        <w:tc>
          <w:tcPr>
            <w:tcW w:type="dxa" w:w="1701"/>
            <w:vAlign w:val="center"/>
          </w:tcPr>
          <w:p>
            <w:r/>
            <w:r>
              <w:rPr>
                <w:rFonts w:ascii="Calibri" w:hAnsi="Calibri"/>
                <w:sz w:val="19"/>
              </w:rPr>
              <w:t>Head of Integration</w:t>
            </w:r>
          </w:p>
        </w:tc>
        <w:tc>
          <w:tcPr>
            <w:tcW w:type="dxa" w:w="2551"/>
            <w:vAlign w:val="center"/>
          </w:tcPr>
          <w:p>
            <w:r/>
            <w:r>
              <w:rPr>
                <w:rFonts w:ascii="Calibri" w:hAnsi="Calibri"/>
                <w:sz w:val="19"/>
              </w:rPr>
              <w:t>Headcount plan locked</w:t>
            </w:r>
          </w:p>
        </w:tc>
      </w:tr>
      <w:tr>
        <w:tc>
          <w:tcPr>
            <w:tcW w:type="dxa" w:w="1417"/>
            <w:shd w:val="clear" w:color="auto" w:fill="F4F6F9"/>
            <w:vAlign w:val="center"/>
          </w:tcPr>
          <w:p>
            <w:r/>
            <w:r>
              <w:rPr>
                <w:rFonts w:ascii="Calibri" w:hAnsi="Calibri"/>
                <w:sz w:val="19"/>
              </w:rPr>
              <w:t>D+180</w:t>
            </w:r>
          </w:p>
        </w:tc>
        <w:tc>
          <w:tcPr>
            <w:tcW w:type="dxa" w:w="2835"/>
            <w:shd w:val="clear" w:color="auto" w:fill="F4F6F9"/>
            <w:vAlign w:val="center"/>
          </w:tcPr>
          <w:p>
            <w:r/>
            <w:r>
              <w:rPr>
                <w:rFonts w:ascii="Calibri" w:hAnsi="Calibri"/>
                <w:sz w:val="19"/>
              </w:rPr>
              <w:t>Platform decision — keep brand, migrate book to Ledger platform Y2</w:t>
            </w:r>
          </w:p>
        </w:tc>
        <w:tc>
          <w:tcPr>
            <w:tcW w:type="dxa" w:w="1701"/>
            <w:shd w:val="clear" w:color="auto" w:fill="F4F6F9"/>
            <w:vAlign w:val="center"/>
          </w:tcPr>
          <w:p>
            <w:r/>
            <w:r>
              <w:rPr>
                <w:rFonts w:ascii="Calibri" w:hAnsi="Calibri"/>
                <w:sz w:val="19"/>
              </w:rPr>
              <w:t>Group CEO</w:t>
            </w:r>
          </w:p>
        </w:tc>
        <w:tc>
          <w:tcPr>
            <w:tcW w:type="dxa" w:w="2551"/>
            <w:shd w:val="clear" w:color="auto" w:fill="F4F6F9"/>
            <w:vAlign w:val="center"/>
          </w:tcPr>
          <w:p>
            <w:r/>
            <w:r>
              <w:rPr>
                <w:rFonts w:ascii="Calibri" w:hAnsi="Calibri"/>
                <w:sz w:val="19"/>
              </w:rPr>
              <w:t>Migration roadmap</w:t>
            </w:r>
          </w:p>
        </w:tc>
      </w:tr>
    </w:tbl>
    <w:p>
      <w:r>
        <w:br w:type="page"/>
      </w:r>
    </w:p>
    <w:p>
      <w:pPr>
        <w:spacing w:before="360" w:after="120"/>
      </w:pPr>
      <w:r>
        <w:rPr>
          <w:rFonts w:ascii="Calibri" w:hAnsi="Calibri"/>
          <w:b/>
          <w:color w:val="1F3A5F"/>
          <w:sz w:val="40"/>
        </w:rPr>
        <w:t>7. Software &amp; Technology Stack</w:t>
      </w:r>
    </w:p>
    <w:p>
      <w:pPr>
        <w:spacing w:before="280" w:after="80"/>
      </w:pPr>
      <w:r>
        <w:rPr>
          <w:rFonts w:ascii="Calibri" w:hAnsi="Calibri"/>
          <w:b/>
          <w:color w:val="1F3A5F"/>
          <w:sz w:val="28"/>
        </w:rPr>
        <w:t>7.1  Stack architecture</w:t>
      </w:r>
    </w:p>
    <w:p>
      <w:pPr>
        <w:spacing w:after="80" w:line="300" w:lineRule="auto"/>
      </w:pPr>
      <w:r>
        <w:rPr>
          <w:rFonts w:ascii="Calibri" w:hAnsi="Calibri"/>
          <w:b w:val="0"/>
          <w:i w:val="0"/>
          <w:color w:val="101010"/>
          <w:sz w:val="21"/>
        </w:rPr>
        <w:t>Three layers: (1) host accounting platforms inherited from each acquired practice; (2) Ledger AI overlay — the thin orchestration layer we own; (3) group BI + consolidation.</w:t>
      </w:r>
    </w:p>
    <w:p>
      <w:pPr>
        <w:spacing w:before="280" w:after="80"/>
      </w:pPr>
      <w:r>
        <w:rPr>
          <w:rFonts w:ascii="Calibri" w:hAnsi="Calibri"/>
          <w:b/>
          <w:color w:val="1F3A5F"/>
          <w:sz w:val="28"/>
        </w:rPr>
        <w:t>7.2  Vendor list by category</w:t>
      </w:r>
    </w:p>
    <w:p>
      <w:pPr>
        <w:spacing w:before="200" w:after="40"/>
      </w:pPr>
      <w:r>
        <w:rPr>
          <w:rFonts w:ascii="Calibri" w:hAnsi="Calibri"/>
          <w:b/>
          <w:color w:val="FF6B35"/>
          <w:sz w:val="23"/>
        </w:rPr>
        <w:t>Accounting platforms (per geography)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17"/>
            <w:shd w:val="clear" w:color="auto" w:fill="1F3A5F"/>
            <w:vAlign w:val="center"/>
          </w:tcPr>
          <w:p>
            <w:r/>
            <w:r>
              <w:rPr>
                <w:rFonts w:ascii="Calibri" w:hAnsi="Calibri"/>
                <w:b/>
                <w:color w:val="FFFFFF"/>
                <w:sz w:val="20"/>
              </w:rPr>
              <w:t>Country</w:t>
            </w:r>
          </w:p>
        </w:tc>
        <w:tc>
          <w:tcPr>
            <w:tcW w:type="dxa" w:w="1984"/>
            <w:shd w:val="clear" w:color="auto" w:fill="1F3A5F"/>
            <w:vAlign w:val="center"/>
          </w:tcPr>
          <w:p>
            <w:r/>
            <w:r>
              <w:rPr>
                <w:rFonts w:ascii="Calibri" w:hAnsi="Calibri"/>
                <w:b/>
                <w:color w:val="FFFFFF"/>
                <w:sz w:val="20"/>
              </w:rPr>
              <w:t>Primary host</w:t>
            </w:r>
          </w:p>
        </w:tc>
        <w:tc>
          <w:tcPr>
            <w:tcW w:type="dxa" w:w="2551"/>
            <w:shd w:val="clear" w:color="auto" w:fill="1F3A5F"/>
            <w:vAlign w:val="center"/>
          </w:tcPr>
          <w:p>
            <w:r/>
            <w:r>
              <w:rPr>
                <w:rFonts w:ascii="Calibri" w:hAnsi="Calibri"/>
                <w:b/>
                <w:color w:val="FFFFFF"/>
                <w:sz w:val="20"/>
              </w:rPr>
              <w:t>Alternates</w:t>
            </w:r>
          </w:p>
        </w:tc>
        <w:tc>
          <w:tcPr>
            <w:tcW w:type="dxa" w:w="2835"/>
            <w:shd w:val="clear" w:color="auto" w:fill="1F3A5F"/>
            <w:vAlign w:val="center"/>
          </w:tcPr>
          <w:p>
            <w:r/>
            <w:r>
              <w:rPr>
                <w:rFonts w:ascii="Calibri" w:hAnsi="Calibri"/>
                <w:b/>
                <w:color w:val="FFFFFF"/>
                <w:sz w:val="20"/>
              </w:rPr>
              <w:t>Notes</w:t>
            </w:r>
          </w:p>
        </w:tc>
      </w:tr>
      <w:tr>
        <w:tc>
          <w:tcPr>
            <w:tcW w:type="dxa" w:w="1417"/>
            <w:vAlign w:val="center"/>
          </w:tcPr>
          <w:p>
            <w:r/>
            <w:r>
              <w:rPr>
                <w:rFonts w:ascii="Calibri" w:hAnsi="Calibri"/>
                <w:sz w:val="19"/>
              </w:rPr>
              <w:t>Poland</w:t>
            </w:r>
          </w:p>
        </w:tc>
        <w:tc>
          <w:tcPr>
            <w:tcW w:type="dxa" w:w="1984"/>
            <w:vAlign w:val="center"/>
          </w:tcPr>
          <w:p>
            <w:r/>
            <w:r>
              <w:rPr>
                <w:rFonts w:ascii="Calibri" w:hAnsi="Calibri"/>
                <w:sz w:val="19"/>
              </w:rPr>
              <w:t>Comarch Optima</w:t>
            </w:r>
          </w:p>
        </w:tc>
        <w:tc>
          <w:tcPr>
            <w:tcW w:type="dxa" w:w="2551"/>
            <w:vAlign w:val="center"/>
          </w:tcPr>
          <w:p>
            <w:r/>
            <w:r>
              <w:rPr>
                <w:rFonts w:ascii="Calibri" w:hAnsi="Calibri"/>
                <w:sz w:val="19"/>
              </w:rPr>
              <w:t>Fakturownia, iFirma, Symfonia</w:t>
            </w:r>
          </w:p>
        </w:tc>
        <w:tc>
          <w:tcPr>
            <w:tcW w:type="dxa" w:w="2835"/>
            <w:vAlign w:val="center"/>
          </w:tcPr>
          <w:p>
            <w:r/>
            <w:r>
              <w:rPr>
                <w:rFonts w:ascii="Calibri" w:hAnsi="Calibri"/>
                <w:sz w:val="19"/>
              </w:rPr>
              <w:t>Comarch supports KSeF natively</w:t>
            </w:r>
          </w:p>
        </w:tc>
      </w:tr>
      <w:tr>
        <w:tc>
          <w:tcPr>
            <w:tcW w:type="dxa" w:w="1417"/>
            <w:shd w:val="clear" w:color="auto" w:fill="F4F6F9"/>
            <w:vAlign w:val="center"/>
          </w:tcPr>
          <w:p>
            <w:r/>
            <w:r>
              <w:rPr>
                <w:rFonts w:ascii="Calibri" w:hAnsi="Calibri"/>
                <w:sz w:val="19"/>
              </w:rPr>
              <w:t>Italy</w:t>
            </w:r>
          </w:p>
        </w:tc>
        <w:tc>
          <w:tcPr>
            <w:tcW w:type="dxa" w:w="1984"/>
            <w:shd w:val="clear" w:color="auto" w:fill="F4F6F9"/>
            <w:vAlign w:val="center"/>
          </w:tcPr>
          <w:p>
            <w:r/>
            <w:r>
              <w:rPr>
                <w:rFonts w:ascii="Calibri" w:hAnsi="Calibri"/>
                <w:sz w:val="19"/>
              </w:rPr>
              <w:t>TeamSystem Polyedro</w:t>
            </w:r>
          </w:p>
        </w:tc>
        <w:tc>
          <w:tcPr>
            <w:tcW w:type="dxa" w:w="2551"/>
            <w:shd w:val="clear" w:color="auto" w:fill="F4F6F9"/>
            <w:vAlign w:val="center"/>
          </w:tcPr>
          <w:p>
            <w:r/>
            <w:r>
              <w:rPr>
                <w:rFonts w:ascii="Calibri" w:hAnsi="Calibri"/>
                <w:sz w:val="19"/>
              </w:rPr>
              <w:t>Zucchetti, Fiscozen, Aruba</w:t>
            </w:r>
          </w:p>
        </w:tc>
        <w:tc>
          <w:tcPr>
            <w:tcW w:type="dxa" w:w="2835"/>
            <w:shd w:val="clear" w:color="auto" w:fill="F4F6F9"/>
            <w:vAlign w:val="center"/>
          </w:tcPr>
          <w:p>
            <w:r/>
            <w:r>
              <w:rPr>
                <w:rFonts w:ascii="Calibri" w:hAnsi="Calibri"/>
                <w:sz w:val="19"/>
              </w:rPr>
              <w:t>TeamSystem dominant in north</w:t>
            </w:r>
          </w:p>
        </w:tc>
      </w:tr>
      <w:tr>
        <w:tc>
          <w:tcPr>
            <w:tcW w:type="dxa" w:w="1417"/>
            <w:vAlign w:val="center"/>
          </w:tcPr>
          <w:p>
            <w:r/>
            <w:r>
              <w:rPr>
                <w:rFonts w:ascii="Calibri" w:hAnsi="Calibri"/>
                <w:sz w:val="19"/>
              </w:rPr>
              <w:t>Cyprus</w:t>
            </w:r>
          </w:p>
        </w:tc>
        <w:tc>
          <w:tcPr>
            <w:tcW w:type="dxa" w:w="1984"/>
            <w:vAlign w:val="center"/>
          </w:tcPr>
          <w:p>
            <w:r/>
            <w:r>
              <w:rPr>
                <w:rFonts w:ascii="Calibri" w:hAnsi="Calibri"/>
                <w:sz w:val="19"/>
              </w:rPr>
              <w:t>LIVS Accounting</w:t>
            </w:r>
          </w:p>
        </w:tc>
        <w:tc>
          <w:tcPr>
            <w:tcW w:type="dxa" w:w="2551"/>
            <w:vAlign w:val="center"/>
          </w:tcPr>
          <w:p>
            <w:r/>
            <w:r>
              <w:rPr>
                <w:rFonts w:ascii="Calibri" w:hAnsi="Calibri"/>
                <w:sz w:val="19"/>
              </w:rPr>
              <w:t>E-Soft, Sage 50 Cy</w:t>
            </w:r>
          </w:p>
        </w:tc>
        <w:tc>
          <w:tcPr>
            <w:tcW w:type="dxa" w:w="2835"/>
            <w:vAlign w:val="center"/>
          </w:tcPr>
          <w:p>
            <w:r/>
            <w:r>
              <w:rPr>
                <w:rFonts w:ascii="Calibri" w:hAnsi="Calibri"/>
                <w:sz w:val="19"/>
              </w:rPr>
              <w:t>LIVS is local market leader</w:t>
            </w:r>
          </w:p>
        </w:tc>
      </w:tr>
      <w:tr>
        <w:tc>
          <w:tcPr>
            <w:tcW w:type="dxa" w:w="1417"/>
            <w:shd w:val="clear" w:color="auto" w:fill="F4F6F9"/>
            <w:vAlign w:val="center"/>
          </w:tcPr>
          <w:p>
            <w:r/>
            <w:r>
              <w:rPr>
                <w:rFonts w:ascii="Calibri" w:hAnsi="Calibri"/>
                <w:sz w:val="19"/>
              </w:rPr>
              <w:t>Group consol.</w:t>
            </w:r>
          </w:p>
        </w:tc>
        <w:tc>
          <w:tcPr>
            <w:tcW w:type="dxa" w:w="1984"/>
            <w:shd w:val="clear" w:color="auto" w:fill="F4F6F9"/>
            <w:vAlign w:val="center"/>
          </w:tcPr>
          <w:p>
            <w:r/>
            <w:r>
              <w:rPr>
                <w:rFonts w:ascii="Calibri" w:hAnsi="Calibri"/>
                <w:sz w:val="19"/>
              </w:rPr>
              <w:t>Sage Intacct or NetSuite</w:t>
            </w:r>
          </w:p>
        </w:tc>
        <w:tc>
          <w:tcPr>
            <w:tcW w:type="dxa" w:w="2551"/>
            <w:shd w:val="clear" w:color="auto" w:fill="F4F6F9"/>
            <w:vAlign w:val="center"/>
          </w:tcPr>
          <w:p>
            <w:r/>
            <w:r>
              <w:rPr>
                <w:rFonts w:ascii="Calibri" w:hAnsi="Calibri"/>
                <w:sz w:val="19"/>
              </w:rPr>
              <w:t>Workday Adaptive</w:t>
            </w:r>
          </w:p>
        </w:tc>
        <w:tc>
          <w:tcPr>
            <w:tcW w:type="dxa" w:w="2835"/>
            <w:shd w:val="clear" w:color="auto" w:fill="F4F6F9"/>
            <w:vAlign w:val="center"/>
          </w:tcPr>
          <w:p>
            <w:r/>
            <w:r>
              <w:rPr>
                <w:rFonts w:ascii="Calibri" w:hAnsi="Calibri"/>
                <w:sz w:val="19"/>
              </w:rPr>
              <w:t>After Series A</w:t>
            </w:r>
          </w:p>
        </w:tc>
      </w:tr>
    </w:tbl>
    <w:p>
      <w:pPr>
        <w:spacing w:before="200" w:after="40"/>
      </w:pPr>
      <w:r>
        <w:rPr>
          <w:rFonts w:ascii="Calibri" w:hAnsi="Calibri"/>
          <w:b/>
          <w:color w:val="FF6B35"/>
          <w:sz w:val="23"/>
        </w:rPr>
        <w:t>AI / automation layer (Ledger-owned)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984"/>
            <w:shd w:val="clear" w:color="auto" w:fill="1F3A5F"/>
            <w:vAlign w:val="center"/>
          </w:tcPr>
          <w:p>
            <w:r/>
            <w:r>
              <w:rPr>
                <w:rFonts w:ascii="Calibri" w:hAnsi="Calibri"/>
                <w:b/>
                <w:color w:val="FFFFFF"/>
                <w:sz w:val="20"/>
              </w:rPr>
              <w:t>Capability</w:t>
            </w:r>
          </w:p>
        </w:tc>
        <w:tc>
          <w:tcPr>
            <w:tcW w:type="dxa" w:w="2268"/>
            <w:shd w:val="clear" w:color="auto" w:fill="1F3A5F"/>
            <w:vAlign w:val="center"/>
          </w:tcPr>
          <w:p>
            <w:r/>
            <w:r>
              <w:rPr>
                <w:rFonts w:ascii="Calibri" w:hAnsi="Calibri"/>
                <w:b/>
                <w:color w:val="FFFFFF"/>
                <w:sz w:val="20"/>
              </w:rPr>
              <w:t>Vendor / model</w:t>
            </w:r>
          </w:p>
        </w:tc>
        <w:tc>
          <w:tcPr>
            <w:tcW w:type="dxa" w:w="1417"/>
            <w:shd w:val="clear" w:color="auto" w:fill="1F3A5F"/>
            <w:vAlign w:val="center"/>
          </w:tcPr>
          <w:p>
            <w:r/>
            <w:r>
              <w:rPr>
                <w:rFonts w:ascii="Calibri" w:hAnsi="Calibri"/>
                <w:b/>
                <w:color w:val="FFFFFF"/>
                <w:sz w:val="20"/>
              </w:rPr>
              <w:t>Build vs. buy</w:t>
            </w:r>
          </w:p>
        </w:tc>
        <w:tc>
          <w:tcPr>
            <w:tcW w:type="dxa" w:w="1984"/>
            <w:shd w:val="clear" w:color="auto" w:fill="1F3A5F"/>
            <w:vAlign w:val="center"/>
          </w:tcPr>
          <w:p>
            <w:r/>
            <w:r>
              <w:rPr>
                <w:rFonts w:ascii="Calibri" w:hAnsi="Calibri"/>
                <w:b/>
                <w:color w:val="FFFFFF"/>
                <w:sz w:val="20"/>
              </w:rPr>
              <w:t>Annual cost (est.)</w:t>
            </w:r>
          </w:p>
        </w:tc>
      </w:tr>
      <w:tr>
        <w:tc>
          <w:tcPr>
            <w:tcW w:type="dxa" w:w="1984"/>
            <w:vAlign w:val="center"/>
          </w:tcPr>
          <w:p>
            <w:r/>
            <w:r>
              <w:rPr>
                <w:rFonts w:ascii="Calibri" w:hAnsi="Calibri"/>
                <w:sz w:val="19"/>
              </w:rPr>
              <w:t>OCR + doc intelligence</w:t>
            </w:r>
          </w:p>
        </w:tc>
        <w:tc>
          <w:tcPr>
            <w:tcW w:type="dxa" w:w="2268"/>
            <w:vAlign w:val="center"/>
          </w:tcPr>
          <w:p>
            <w:r/>
            <w:r>
              <w:rPr>
                <w:rFonts w:ascii="Calibri" w:hAnsi="Calibri"/>
                <w:sz w:val="19"/>
              </w:rPr>
              <w:t>Azure Document Intelligence</w:t>
            </w:r>
          </w:p>
        </w:tc>
        <w:tc>
          <w:tcPr>
            <w:tcW w:type="dxa" w:w="1417"/>
            <w:vAlign w:val="center"/>
          </w:tcPr>
          <w:p>
            <w:r/>
            <w:r>
              <w:rPr>
                <w:rFonts w:ascii="Calibri" w:hAnsi="Calibri"/>
                <w:sz w:val="19"/>
              </w:rPr>
              <w:t>Buy</w:t>
            </w:r>
          </w:p>
        </w:tc>
        <w:tc>
          <w:tcPr>
            <w:tcW w:type="dxa" w:w="1984"/>
            <w:vAlign w:val="center"/>
          </w:tcPr>
          <w:p>
            <w:r/>
            <w:r>
              <w:rPr>
                <w:rFonts w:ascii="Calibri" w:hAnsi="Calibri"/>
                <w:sz w:val="19"/>
              </w:rPr>
              <w:t>€20–40k</w:t>
            </w:r>
          </w:p>
        </w:tc>
      </w:tr>
      <w:tr>
        <w:tc>
          <w:tcPr>
            <w:tcW w:type="dxa" w:w="1984"/>
            <w:shd w:val="clear" w:color="auto" w:fill="F4F6F9"/>
            <w:vAlign w:val="center"/>
          </w:tcPr>
          <w:p>
            <w:r/>
            <w:r>
              <w:rPr>
                <w:rFonts w:ascii="Calibri" w:hAnsi="Calibri"/>
                <w:sz w:val="19"/>
              </w:rPr>
              <w:t>LLM orchestration</w:t>
            </w:r>
          </w:p>
        </w:tc>
        <w:tc>
          <w:tcPr>
            <w:tcW w:type="dxa" w:w="2268"/>
            <w:shd w:val="clear" w:color="auto" w:fill="F4F6F9"/>
            <w:vAlign w:val="center"/>
          </w:tcPr>
          <w:p>
            <w:r/>
            <w:r>
              <w:rPr>
                <w:rFonts w:ascii="Calibri" w:hAnsi="Calibri"/>
                <w:sz w:val="19"/>
              </w:rPr>
              <w:t>OpenAI GPT-4o + Anthropic Claude</w:t>
            </w:r>
          </w:p>
        </w:tc>
        <w:tc>
          <w:tcPr>
            <w:tcW w:type="dxa" w:w="1417"/>
            <w:shd w:val="clear" w:color="auto" w:fill="F4F6F9"/>
            <w:vAlign w:val="center"/>
          </w:tcPr>
          <w:p>
            <w:r/>
            <w:r>
              <w:rPr>
                <w:rFonts w:ascii="Calibri" w:hAnsi="Calibri"/>
                <w:sz w:val="19"/>
              </w:rPr>
              <w:t>Buy (API)</w:t>
            </w:r>
          </w:p>
        </w:tc>
        <w:tc>
          <w:tcPr>
            <w:tcW w:type="dxa" w:w="1984"/>
            <w:shd w:val="clear" w:color="auto" w:fill="F4F6F9"/>
            <w:vAlign w:val="center"/>
          </w:tcPr>
          <w:p>
            <w:r/>
            <w:r>
              <w:rPr>
                <w:rFonts w:ascii="Calibri" w:hAnsi="Calibri"/>
                <w:sz w:val="19"/>
              </w:rPr>
              <w:t>€15–30k</w:t>
            </w:r>
          </w:p>
        </w:tc>
      </w:tr>
      <w:tr>
        <w:tc>
          <w:tcPr>
            <w:tcW w:type="dxa" w:w="1984"/>
            <w:vAlign w:val="center"/>
          </w:tcPr>
          <w:p>
            <w:r/>
            <w:r>
              <w:rPr>
                <w:rFonts w:ascii="Calibri" w:hAnsi="Calibri"/>
                <w:sz w:val="19"/>
              </w:rPr>
              <w:t>Workflow orchestration</w:t>
            </w:r>
          </w:p>
        </w:tc>
        <w:tc>
          <w:tcPr>
            <w:tcW w:type="dxa" w:w="2268"/>
            <w:vAlign w:val="center"/>
          </w:tcPr>
          <w:p>
            <w:r/>
            <w:r>
              <w:rPr>
                <w:rFonts w:ascii="Calibri" w:hAnsi="Calibri"/>
                <w:sz w:val="19"/>
              </w:rPr>
              <w:t>Make.com or n8n self-hosted</w:t>
            </w:r>
          </w:p>
        </w:tc>
        <w:tc>
          <w:tcPr>
            <w:tcW w:type="dxa" w:w="1417"/>
            <w:vAlign w:val="center"/>
          </w:tcPr>
          <w:p>
            <w:r/>
            <w:r>
              <w:rPr>
                <w:rFonts w:ascii="Calibri" w:hAnsi="Calibri"/>
                <w:sz w:val="19"/>
              </w:rPr>
              <w:t>Buy</w:t>
            </w:r>
          </w:p>
        </w:tc>
        <w:tc>
          <w:tcPr>
            <w:tcW w:type="dxa" w:w="1984"/>
            <w:vAlign w:val="center"/>
          </w:tcPr>
          <w:p>
            <w:r/>
            <w:r>
              <w:rPr>
                <w:rFonts w:ascii="Calibri" w:hAnsi="Calibri"/>
                <w:sz w:val="19"/>
              </w:rPr>
              <w:t>€8–15k</w:t>
            </w:r>
          </w:p>
        </w:tc>
      </w:tr>
      <w:tr>
        <w:tc>
          <w:tcPr>
            <w:tcW w:type="dxa" w:w="1984"/>
            <w:shd w:val="clear" w:color="auto" w:fill="F4F6F9"/>
            <w:vAlign w:val="center"/>
          </w:tcPr>
          <w:p>
            <w:r/>
            <w:r>
              <w:rPr>
                <w:rFonts w:ascii="Calibri" w:hAnsi="Calibri"/>
                <w:sz w:val="19"/>
              </w:rPr>
              <w:t>Classification model</w:t>
            </w:r>
          </w:p>
        </w:tc>
        <w:tc>
          <w:tcPr>
            <w:tcW w:type="dxa" w:w="2268"/>
            <w:shd w:val="clear" w:color="auto" w:fill="F4F6F9"/>
            <w:vAlign w:val="center"/>
          </w:tcPr>
          <w:p>
            <w:r/>
            <w:r>
              <w:rPr>
                <w:rFonts w:ascii="Calibri" w:hAnsi="Calibri"/>
                <w:sz w:val="19"/>
              </w:rPr>
              <w:t>Fine-tuned BERT on practice data</w:t>
            </w:r>
          </w:p>
        </w:tc>
        <w:tc>
          <w:tcPr>
            <w:tcW w:type="dxa" w:w="1417"/>
            <w:shd w:val="clear" w:color="auto" w:fill="F4F6F9"/>
            <w:vAlign w:val="center"/>
          </w:tcPr>
          <w:p>
            <w:r/>
            <w:r>
              <w:rPr>
                <w:rFonts w:ascii="Calibri" w:hAnsi="Calibri"/>
                <w:sz w:val="19"/>
              </w:rPr>
              <w:t>Build (Y2)</w:t>
            </w:r>
          </w:p>
        </w:tc>
        <w:tc>
          <w:tcPr>
            <w:tcW w:type="dxa" w:w="1984"/>
            <w:shd w:val="clear" w:color="auto" w:fill="F4F6F9"/>
            <w:vAlign w:val="center"/>
          </w:tcPr>
          <w:p>
            <w:r/>
            <w:r>
              <w:rPr>
                <w:rFonts w:ascii="Calibri" w:hAnsi="Calibri"/>
                <w:sz w:val="19"/>
              </w:rPr>
              <w:t>€10k (one-off)</w:t>
            </w:r>
          </w:p>
        </w:tc>
      </w:tr>
      <w:tr>
        <w:tc>
          <w:tcPr>
            <w:tcW w:type="dxa" w:w="1984"/>
            <w:vAlign w:val="center"/>
          </w:tcPr>
          <w:p>
            <w:r/>
            <w:r>
              <w:rPr>
                <w:rFonts w:ascii="Calibri" w:hAnsi="Calibri"/>
                <w:sz w:val="19"/>
              </w:rPr>
              <w:t>Bank feed aggregation</w:t>
            </w:r>
          </w:p>
        </w:tc>
        <w:tc>
          <w:tcPr>
            <w:tcW w:type="dxa" w:w="2268"/>
            <w:vAlign w:val="center"/>
          </w:tcPr>
          <w:p>
            <w:r/>
            <w:r>
              <w:rPr>
                <w:rFonts w:ascii="Calibri" w:hAnsi="Calibri"/>
                <w:sz w:val="19"/>
              </w:rPr>
              <w:t>TrueLayer or Tink</w:t>
            </w:r>
          </w:p>
        </w:tc>
        <w:tc>
          <w:tcPr>
            <w:tcW w:type="dxa" w:w="1417"/>
            <w:vAlign w:val="center"/>
          </w:tcPr>
          <w:p>
            <w:r/>
            <w:r>
              <w:rPr>
                <w:rFonts w:ascii="Calibri" w:hAnsi="Calibri"/>
                <w:sz w:val="19"/>
              </w:rPr>
              <w:t>Buy</w:t>
            </w:r>
          </w:p>
        </w:tc>
        <w:tc>
          <w:tcPr>
            <w:tcW w:type="dxa" w:w="1984"/>
            <w:vAlign w:val="center"/>
          </w:tcPr>
          <w:p>
            <w:r/>
            <w:r>
              <w:rPr>
                <w:rFonts w:ascii="Calibri" w:hAnsi="Calibri"/>
                <w:sz w:val="19"/>
              </w:rPr>
              <w:t>€15–25k</w:t>
            </w:r>
          </w:p>
        </w:tc>
      </w:tr>
      <w:tr>
        <w:tc>
          <w:tcPr>
            <w:tcW w:type="dxa" w:w="1984"/>
            <w:shd w:val="clear" w:color="auto" w:fill="F4F6F9"/>
            <w:vAlign w:val="center"/>
          </w:tcPr>
          <w:p>
            <w:r/>
            <w:r>
              <w:rPr>
                <w:rFonts w:ascii="Calibri" w:hAnsi="Calibri"/>
                <w:sz w:val="19"/>
              </w:rPr>
              <w:t>Invoice fraud detection</w:t>
            </w:r>
          </w:p>
        </w:tc>
        <w:tc>
          <w:tcPr>
            <w:tcW w:type="dxa" w:w="2268"/>
            <w:shd w:val="clear" w:color="auto" w:fill="F4F6F9"/>
            <w:vAlign w:val="center"/>
          </w:tcPr>
          <w:p>
            <w:r/>
            <w:r>
              <w:rPr>
                <w:rFonts w:ascii="Calibri" w:hAnsi="Calibri"/>
                <w:sz w:val="19"/>
              </w:rPr>
              <w:t>In-house rules + GPT</w:t>
            </w:r>
          </w:p>
        </w:tc>
        <w:tc>
          <w:tcPr>
            <w:tcW w:type="dxa" w:w="1417"/>
            <w:shd w:val="clear" w:color="auto" w:fill="F4F6F9"/>
            <w:vAlign w:val="center"/>
          </w:tcPr>
          <w:p>
            <w:r/>
            <w:r>
              <w:rPr>
                <w:rFonts w:ascii="Calibri" w:hAnsi="Calibri"/>
                <w:sz w:val="19"/>
              </w:rPr>
              <w:t>Build</w:t>
            </w:r>
          </w:p>
        </w:tc>
        <w:tc>
          <w:tcPr>
            <w:tcW w:type="dxa" w:w="1984"/>
            <w:shd w:val="clear" w:color="auto" w:fill="F4F6F9"/>
            <w:vAlign w:val="center"/>
          </w:tcPr>
          <w:p>
            <w:r/>
            <w:r>
              <w:rPr>
                <w:rFonts w:ascii="Calibri" w:hAnsi="Calibri"/>
                <w:sz w:val="19"/>
              </w:rPr>
              <w:t>€5k (one-off)</w:t>
            </w:r>
          </w:p>
        </w:tc>
      </w:tr>
      <w:tr>
        <w:tc>
          <w:tcPr>
            <w:tcW w:type="dxa" w:w="1984"/>
            <w:vAlign w:val="center"/>
          </w:tcPr>
          <w:p>
            <w:r/>
            <w:r>
              <w:rPr>
                <w:rFonts w:ascii="Calibri" w:hAnsi="Calibri"/>
                <w:sz w:val="19"/>
              </w:rPr>
              <w:t>Dashboarding</w:t>
            </w:r>
          </w:p>
        </w:tc>
        <w:tc>
          <w:tcPr>
            <w:tcW w:type="dxa" w:w="2268"/>
            <w:vAlign w:val="center"/>
          </w:tcPr>
          <w:p>
            <w:r/>
            <w:r>
              <w:rPr>
                <w:rFonts w:ascii="Calibri" w:hAnsi="Calibri"/>
                <w:sz w:val="19"/>
              </w:rPr>
              <w:t>Metabase (open source)</w:t>
            </w:r>
          </w:p>
        </w:tc>
        <w:tc>
          <w:tcPr>
            <w:tcW w:type="dxa" w:w="1417"/>
            <w:vAlign w:val="center"/>
          </w:tcPr>
          <w:p>
            <w:r/>
            <w:r>
              <w:rPr>
                <w:rFonts w:ascii="Calibri" w:hAnsi="Calibri"/>
                <w:sz w:val="19"/>
              </w:rPr>
              <w:t>Buy / self-host</w:t>
            </w:r>
          </w:p>
        </w:tc>
        <w:tc>
          <w:tcPr>
            <w:tcW w:type="dxa" w:w="1984"/>
            <w:vAlign w:val="center"/>
          </w:tcPr>
          <w:p>
            <w:r/>
            <w:r>
              <w:rPr>
                <w:rFonts w:ascii="Calibri" w:hAnsi="Calibri"/>
                <w:sz w:val="19"/>
              </w:rPr>
              <w:t>€2k</w:t>
            </w:r>
          </w:p>
        </w:tc>
      </w:tr>
    </w:tbl>
    <w:p>
      <w:pPr>
        <w:spacing w:before="200" w:after="40"/>
      </w:pPr>
      <w:r>
        <w:rPr>
          <w:rFonts w:ascii="Calibri" w:hAnsi="Calibri"/>
          <w:b/>
          <w:color w:val="FF6B35"/>
          <w:sz w:val="23"/>
        </w:rPr>
        <w:t>Operations and shared services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701"/>
            <w:shd w:val="clear" w:color="auto" w:fill="1F3A5F"/>
            <w:vAlign w:val="center"/>
          </w:tcPr>
          <w:p>
            <w:r/>
            <w:r>
              <w:rPr>
                <w:rFonts w:ascii="Calibri" w:hAnsi="Calibri"/>
                <w:b/>
                <w:color w:val="FFFFFF"/>
                <w:sz w:val="20"/>
              </w:rPr>
              <w:t>Category</w:t>
            </w:r>
          </w:p>
        </w:tc>
        <w:tc>
          <w:tcPr>
            <w:tcW w:type="dxa" w:w="2835"/>
            <w:shd w:val="clear" w:color="auto" w:fill="1F3A5F"/>
            <w:vAlign w:val="center"/>
          </w:tcPr>
          <w:p>
            <w:r/>
            <w:r>
              <w:rPr>
                <w:rFonts w:ascii="Calibri" w:hAnsi="Calibri"/>
                <w:b/>
                <w:color w:val="FFFFFF"/>
                <w:sz w:val="20"/>
              </w:rPr>
              <w:t>Vendor</w:t>
            </w:r>
          </w:p>
        </w:tc>
        <w:tc>
          <w:tcPr>
            <w:tcW w:type="dxa" w:w="3402"/>
            <w:shd w:val="clear" w:color="auto" w:fill="1F3A5F"/>
            <w:vAlign w:val="center"/>
          </w:tcPr>
          <w:p>
            <w:r/>
            <w:r>
              <w:rPr>
                <w:rFonts w:ascii="Calibri" w:hAnsi="Calibri"/>
                <w:b/>
                <w:color w:val="FFFFFF"/>
                <w:sz w:val="20"/>
              </w:rPr>
              <w:t>Use</w:t>
            </w:r>
          </w:p>
        </w:tc>
      </w:tr>
      <w:tr>
        <w:tc>
          <w:tcPr>
            <w:tcW w:type="dxa" w:w="1701"/>
            <w:vAlign w:val="center"/>
          </w:tcPr>
          <w:p>
            <w:r/>
            <w:r>
              <w:rPr>
                <w:rFonts w:ascii="Calibri" w:hAnsi="Calibri"/>
                <w:sz w:val="19"/>
              </w:rPr>
              <w:t>CRM</w:t>
            </w:r>
          </w:p>
        </w:tc>
        <w:tc>
          <w:tcPr>
            <w:tcW w:type="dxa" w:w="2835"/>
            <w:vAlign w:val="center"/>
          </w:tcPr>
          <w:p>
            <w:r/>
            <w:r>
              <w:rPr>
                <w:rFonts w:ascii="Calibri" w:hAnsi="Calibri"/>
                <w:sz w:val="19"/>
              </w:rPr>
              <w:t>HubSpot Starter</w:t>
            </w:r>
          </w:p>
        </w:tc>
        <w:tc>
          <w:tcPr>
            <w:tcW w:type="dxa" w:w="3402"/>
            <w:vAlign w:val="center"/>
          </w:tcPr>
          <w:p>
            <w:r/>
            <w:r>
              <w:rPr>
                <w:rFonts w:ascii="Calibri" w:hAnsi="Calibri"/>
                <w:sz w:val="19"/>
              </w:rPr>
              <w:t>M&amp;A pipeline + client comms</w:t>
            </w:r>
          </w:p>
        </w:tc>
      </w:tr>
      <w:tr>
        <w:tc>
          <w:tcPr>
            <w:tcW w:type="dxa" w:w="1701"/>
            <w:shd w:val="clear" w:color="auto" w:fill="F4F6F9"/>
            <w:vAlign w:val="center"/>
          </w:tcPr>
          <w:p>
            <w:r/>
            <w:r>
              <w:rPr>
                <w:rFonts w:ascii="Calibri" w:hAnsi="Calibri"/>
                <w:sz w:val="19"/>
              </w:rPr>
              <w:t>HRIS</w:t>
            </w:r>
          </w:p>
        </w:tc>
        <w:tc>
          <w:tcPr>
            <w:tcW w:type="dxa" w:w="2835"/>
            <w:shd w:val="clear" w:color="auto" w:fill="F4F6F9"/>
            <w:vAlign w:val="center"/>
          </w:tcPr>
          <w:p>
            <w:r/>
            <w:r>
              <w:rPr>
                <w:rFonts w:ascii="Calibri" w:hAnsi="Calibri"/>
                <w:sz w:val="19"/>
              </w:rPr>
              <w:t>Personio</w:t>
            </w:r>
          </w:p>
        </w:tc>
        <w:tc>
          <w:tcPr>
            <w:tcW w:type="dxa" w:w="3402"/>
            <w:shd w:val="clear" w:color="auto" w:fill="F4F6F9"/>
            <w:vAlign w:val="center"/>
          </w:tcPr>
          <w:p>
            <w:r/>
            <w:r>
              <w:rPr>
                <w:rFonts w:ascii="Calibri" w:hAnsi="Calibri"/>
                <w:sz w:val="19"/>
              </w:rPr>
              <w:t>Multi-country payroll + HR</w:t>
            </w:r>
          </w:p>
        </w:tc>
      </w:tr>
      <w:tr>
        <w:tc>
          <w:tcPr>
            <w:tcW w:type="dxa" w:w="1701"/>
            <w:vAlign w:val="center"/>
          </w:tcPr>
          <w:p>
            <w:r/>
            <w:r>
              <w:rPr>
                <w:rFonts w:ascii="Calibri" w:hAnsi="Calibri"/>
                <w:sz w:val="19"/>
              </w:rPr>
              <w:t>Identity / SSO</w:t>
            </w:r>
          </w:p>
        </w:tc>
        <w:tc>
          <w:tcPr>
            <w:tcW w:type="dxa" w:w="2835"/>
            <w:vAlign w:val="center"/>
          </w:tcPr>
          <w:p>
            <w:r/>
            <w:r>
              <w:rPr>
                <w:rFonts w:ascii="Calibri" w:hAnsi="Calibri"/>
                <w:sz w:val="19"/>
              </w:rPr>
              <w:t>Okta or Microsoft Entra</w:t>
            </w:r>
          </w:p>
        </w:tc>
        <w:tc>
          <w:tcPr>
            <w:tcW w:type="dxa" w:w="3402"/>
            <w:vAlign w:val="center"/>
          </w:tcPr>
          <w:p>
            <w:r/>
            <w:r>
              <w:rPr>
                <w:rFonts w:ascii="Calibri" w:hAnsi="Calibri"/>
                <w:sz w:val="19"/>
              </w:rPr>
              <w:t>Group-wide access</w:t>
            </w:r>
          </w:p>
        </w:tc>
      </w:tr>
      <w:tr>
        <w:tc>
          <w:tcPr>
            <w:tcW w:type="dxa" w:w="1701"/>
            <w:shd w:val="clear" w:color="auto" w:fill="F4F6F9"/>
            <w:vAlign w:val="center"/>
          </w:tcPr>
          <w:p>
            <w:r/>
            <w:r>
              <w:rPr>
                <w:rFonts w:ascii="Calibri" w:hAnsi="Calibri"/>
                <w:sz w:val="19"/>
              </w:rPr>
              <w:t>Doc management</w:t>
            </w:r>
          </w:p>
        </w:tc>
        <w:tc>
          <w:tcPr>
            <w:tcW w:type="dxa" w:w="2835"/>
            <w:shd w:val="clear" w:color="auto" w:fill="F4F6F9"/>
            <w:vAlign w:val="center"/>
          </w:tcPr>
          <w:p>
            <w:r/>
            <w:r>
              <w:rPr>
                <w:rFonts w:ascii="Calibri" w:hAnsi="Calibri"/>
                <w:sz w:val="19"/>
              </w:rPr>
              <w:t>Box or SharePoint</w:t>
            </w:r>
          </w:p>
        </w:tc>
        <w:tc>
          <w:tcPr>
            <w:tcW w:type="dxa" w:w="3402"/>
            <w:shd w:val="clear" w:color="auto" w:fill="F4F6F9"/>
            <w:vAlign w:val="center"/>
          </w:tcPr>
          <w:p>
            <w:r/>
            <w:r>
              <w:rPr>
                <w:rFonts w:ascii="Calibri" w:hAnsi="Calibri"/>
                <w:sz w:val="19"/>
              </w:rPr>
              <w:t>Client books, DD rooms</w:t>
            </w:r>
          </w:p>
        </w:tc>
      </w:tr>
      <w:tr>
        <w:tc>
          <w:tcPr>
            <w:tcW w:type="dxa" w:w="1701"/>
            <w:vAlign w:val="center"/>
          </w:tcPr>
          <w:p>
            <w:r/>
            <w:r>
              <w:rPr>
                <w:rFonts w:ascii="Calibri" w:hAnsi="Calibri"/>
                <w:sz w:val="19"/>
              </w:rPr>
              <w:t>VDR (deal-by-deal)</w:t>
            </w:r>
          </w:p>
        </w:tc>
        <w:tc>
          <w:tcPr>
            <w:tcW w:type="dxa" w:w="2835"/>
            <w:vAlign w:val="center"/>
          </w:tcPr>
          <w:p>
            <w:r/>
            <w:r>
              <w:rPr>
                <w:rFonts w:ascii="Calibri" w:hAnsi="Calibri"/>
                <w:sz w:val="19"/>
              </w:rPr>
              <w:t>Datasite or Intralinks</w:t>
            </w:r>
          </w:p>
        </w:tc>
        <w:tc>
          <w:tcPr>
            <w:tcW w:type="dxa" w:w="3402"/>
            <w:vAlign w:val="center"/>
          </w:tcPr>
          <w:p>
            <w:r/>
            <w:r>
              <w:rPr>
                <w:rFonts w:ascii="Calibri" w:hAnsi="Calibri"/>
                <w:sz w:val="19"/>
              </w:rPr>
              <w:t>Diligence rooms</w:t>
            </w:r>
          </w:p>
        </w:tc>
      </w:tr>
      <w:tr>
        <w:tc>
          <w:tcPr>
            <w:tcW w:type="dxa" w:w="1701"/>
            <w:shd w:val="clear" w:color="auto" w:fill="F4F6F9"/>
            <w:vAlign w:val="center"/>
          </w:tcPr>
          <w:p>
            <w:r/>
            <w:r>
              <w:rPr>
                <w:rFonts w:ascii="Calibri" w:hAnsi="Calibri"/>
                <w:sz w:val="19"/>
              </w:rPr>
              <w:t>Communication</w:t>
            </w:r>
          </w:p>
        </w:tc>
        <w:tc>
          <w:tcPr>
            <w:tcW w:type="dxa" w:w="2835"/>
            <w:shd w:val="clear" w:color="auto" w:fill="F4F6F9"/>
            <w:vAlign w:val="center"/>
          </w:tcPr>
          <w:p>
            <w:r/>
            <w:r>
              <w:rPr>
                <w:rFonts w:ascii="Calibri" w:hAnsi="Calibri"/>
                <w:sz w:val="19"/>
              </w:rPr>
              <w:t>Slack + Google Workspace</w:t>
            </w:r>
          </w:p>
        </w:tc>
        <w:tc>
          <w:tcPr>
            <w:tcW w:type="dxa" w:w="3402"/>
            <w:shd w:val="clear" w:color="auto" w:fill="F4F6F9"/>
            <w:vAlign w:val="center"/>
          </w:tcPr>
          <w:p>
            <w:r/>
            <w:r>
              <w:rPr>
                <w:rFonts w:ascii="Calibri" w:hAnsi="Calibri"/>
                <w:sz w:val="19"/>
              </w:rPr>
              <w:t>Internal</w:t>
            </w:r>
          </w:p>
        </w:tc>
      </w:tr>
      <w:tr>
        <w:tc>
          <w:tcPr>
            <w:tcW w:type="dxa" w:w="1701"/>
            <w:vAlign w:val="center"/>
          </w:tcPr>
          <w:p>
            <w:r/>
            <w:r>
              <w:rPr>
                <w:rFonts w:ascii="Calibri" w:hAnsi="Calibri"/>
                <w:sz w:val="19"/>
              </w:rPr>
              <w:t>Project mgmt</w:t>
            </w:r>
          </w:p>
        </w:tc>
        <w:tc>
          <w:tcPr>
            <w:tcW w:type="dxa" w:w="2835"/>
            <w:vAlign w:val="center"/>
          </w:tcPr>
          <w:p>
            <w:r/>
            <w:r>
              <w:rPr>
                <w:rFonts w:ascii="Calibri" w:hAnsi="Calibri"/>
                <w:sz w:val="19"/>
              </w:rPr>
              <w:t>Linear or Asana</w:t>
            </w:r>
          </w:p>
        </w:tc>
        <w:tc>
          <w:tcPr>
            <w:tcW w:type="dxa" w:w="3402"/>
            <w:vAlign w:val="center"/>
          </w:tcPr>
          <w:p>
            <w:r/>
            <w:r>
              <w:rPr>
                <w:rFonts w:ascii="Calibri" w:hAnsi="Calibri"/>
                <w:sz w:val="19"/>
              </w:rPr>
              <w:t>Integration projects</w:t>
            </w:r>
          </w:p>
        </w:tc>
      </w:tr>
      <w:tr>
        <w:tc>
          <w:tcPr>
            <w:tcW w:type="dxa" w:w="1701"/>
            <w:shd w:val="clear" w:color="auto" w:fill="F4F6F9"/>
            <w:vAlign w:val="center"/>
          </w:tcPr>
          <w:p>
            <w:r/>
            <w:r>
              <w:rPr>
                <w:rFonts w:ascii="Calibri" w:hAnsi="Calibri"/>
                <w:sz w:val="19"/>
              </w:rPr>
              <w:t>Knowledge / wiki</w:t>
            </w:r>
          </w:p>
        </w:tc>
        <w:tc>
          <w:tcPr>
            <w:tcW w:type="dxa" w:w="2835"/>
            <w:shd w:val="clear" w:color="auto" w:fill="F4F6F9"/>
            <w:vAlign w:val="center"/>
          </w:tcPr>
          <w:p>
            <w:r/>
            <w:r>
              <w:rPr>
                <w:rFonts w:ascii="Calibri" w:hAnsi="Calibri"/>
                <w:sz w:val="19"/>
              </w:rPr>
              <w:t>Notion</w:t>
            </w:r>
          </w:p>
        </w:tc>
        <w:tc>
          <w:tcPr>
            <w:tcW w:type="dxa" w:w="3402"/>
            <w:shd w:val="clear" w:color="auto" w:fill="F4F6F9"/>
            <w:vAlign w:val="center"/>
          </w:tcPr>
          <w:p>
            <w:r/>
            <w:r>
              <w:rPr>
                <w:rFonts w:ascii="Calibri" w:hAnsi="Calibri"/>
                <w:sz w:val="19"/>
              </w:rPr>
              <w:t>Playbooks, post-mortems</w:t>
            </w:r>
          </w:p>
        </w:tc>
      </w:tr>
      <w:tr>
        <w:tc>
          <w:tcPr>
            <w:tcW w:type="dxa" w:w="1701"/>
            <w:vAlign w:val="center"/>
          </w:tcPr>
          <w:p>
            <w:r/>
            <w:r>
              <w:rPr>
                <w:rFonts w:ascii="Calibri" w:hAnsi="Calibri"/>
                <w:sz w:val="19"/>
              </w:rPr>
              <w:t>Compliance</w:t>
            </w:r>
          </w:p>
        </w:tc>
        <w:tc>
          <w:tcPr>
            <w:tcW w:type="dxa" w:w="2835"/>
            <w:vAlign w:val="center"/>
          </w:tcPr>
          <w:p>
            <w:r/>
            <w:r>
              <w:rPr>
                <w:rFonts w:ascii="Calibri" w:hAnsi="Calibri"/>
                <w:sz w:val="19"/>
              </w:rPr>
              <w:t>OneTrust</w:t>
            </w:r>
          </w:p>
        </w:tc>
        <w:tc>
          <w:tcPr>
            <w:tcW w:type="dxa" w:w="3402"/>
            <w:vAlign w:val="center"/>
          </w:tcPr>
          <w:p>
            <w:r/>
            <w:r>
              <w:rPr>
                <w:rFonts w:ascii="Calibri" w:hAnsi="Calibri"/>
                <w:sz w:val="19"/>
              </w:rPr>
              <w:t>GDPR + KYC + AML logs</w:t>
            </w:r>
          </w:p>
        </w:tc>
      </w:tr>
      <w:tr>
        <w:tc>
          <w:tcPr>
            <w:tcW w:type="dxa" w:w="1701"/>
            <w:shd w:val="clear" w:color="auto" w:fill="F4F6F9"/>
            <w:vAlign w:val="center"/>
          </w:tcPr>
          <w:p>
            <w:r/>
            <w:r>
              <w:rPr>
                <w:rFonts w:ascii="Calibri" w:hAnsi="Calibri"/>
                <w:sz w:val="19"/>
              </w:rPr>
              <w:t>Treasury</w:t>
            </w:r>
          </w:p>
        </w:tc>
        <w:tc>
          <w:tcPr>
            <w:tcW w:type="dxa" w:w="2835"/>
            <w:shd w:val="clear" w:color="auto" w:fill="F4F6F9"/>
            <w:vAlign w:val="center"/>
          </w:tcPr>
          <w:p>
            <w:r/>
            <w:r>
              <w:rPr>
                <w:rFonts w:ascii="Calibri" w:hAnsi="Calibri"/>
                <w:sz w:val="19"/>
              </w:rPr>
              <w:t>Airwallex or Wise Business</w:t>
            </w:r>
          </w:p>
        </w:tc>
        <w:tc>
          <w:tcPr>
            <w:tcW w:type="dxa" w:w="3402"/>
            <w:shd w:val="clear" w:color="auto" w:fill="F4F6F9"/>
            <w:vAlign w:val="center"/>
          </w:tcPr>
          <w:p>
            <w:r/>
            <w:r>
              <w:rPr>
                <w:rFonts w:ascii="Calibri" w:hAnsi="Calibri"/>
                <w:sz w:val="19"/>
              </w:rPr>
              <w:t>Multi-currency cash</w:t>
            </w:r>
          </w:p>
        </w:tc>
      </w:tr>
    </w:tbl>
    <w:p>
      <w:pPr>
        <w:spacing w:before="280" w:after="80"/>
      </w:pPr>
      <w:r>
        <w:rPr>
          <w:rFonts w:ascii="Calibri" w:hAnsi="Calibri"/>
          <w:b/>
          <w:color w:val="1F3A5F"/>
          <w:sz w:val="28"/>
        </w:rPr>
        <w:t>7.3  Total IT spend by year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17"/>
            <w:shd w:val="clear" w:color="auto" w:fill="1F3A5F"/>
            <w:vAlign w:val="center"/>
          </w:tcPr>
          <w:p>
            <w:r/>
            <w:r>
              <w:rPr>
                <w:rFonts w:ascii="Calibri" w:hAnsi="Calibri"/>
                <w:b/>
                <w:color w:val="FFFFFF"/>
                <w:sz w:val="20"/>
              </w:rPr>
              <w:t>Year</w:t>
            </w:r>
          </w:p>
        </w:tc>
        <w:tc>
          <w:tcPr>
            <w:tcW w:type="dxa" w:w="2268"/>
            <w:shd w:val="clear" w:color="auto" w:fill="1F3A5F"/>
            <w:vAlign w:val="center"/>
          </w:tcPr>
          <w:p>
            <w:r/>
            <w:r>
              <w:rPr>
                <w:rFonts w:ascii="Calibri" w:hAnsi="Calibri"/>
                <w:b/>
                <w:color w:val="FFFFFF"/>
                <w:sz w:val="20"/>
              </w:rPr>
              <w:t>Acquired-practice tech</w:t>
            </w:r>
          </w:p>
        </w:tc>
        <w:tc>
          <w:tcPr>
            <w:tcW w:type="dxa" w:w="2268"/>
            <w:shd w:val="clear" w:color="auto" w:fill="1F3A5F"/>
            <w:vAlign w:val="center"/>
          </w:tcPr>
          <w:p>
            <w:r/>
            <w:r>
              <w:rPr>
                <w:rFonts w:ascii="Calibri" w:hAnsi="Calibri"/>
                <w:b/>
                <w:color w:val="FFFFFF"/>
                <w:sz w:val="20"/>
              </w:rPr>
              <w:t>Group AI / SaaS</w:t>
            </w:r>
          </w:p>
        </w:tc>
        <w:tc>
          <w:tcPr>
            <w:tcW w:type="dxa" w:w="1701"/>
            <w:shd w:val="clear" w:color="auto" w:fill="1F3A5F"/>
            <w:vAlign w:val="center"/>
          </w:tcPr>
          <w:p>
            <w:r/>
            <w:r>
              <w:rPr>
                <w:rFonts w:ascii="Calibri" w:hAnsi="Calibri"/>
                <w:b/>
                <w:color w:val="FFFFFF"/>
                <w:sz w:val="20"/>
              </w:rPr>
              <w:t>Total</w:t>
            </w:r>
          </w:p>
        </w:tc>
      </w:tr>
      <w:tr>
        <w:tc>
          <w:tcPr>
            <w:tcW w:type="dxa" w:w="1417"/>
            <w:vAlign w:val="center"/>
          </w:tcPr>
          <w:p>
            <w:r/>
            <w:r>
              <w:rPr>
                <w:rFonts w:ascii="Calibri" w:hAnsi="Calibri"/>
                <w:sz w:val="19"/>
              </w:rPr>
              <w:t>Y1 (FY26)</w:t>
            </w:r>
          </w:p>
        </w:tc>
        <w:tc>
          <w:tcPr>
            <w:tcW w:type="dxa" w:w="2268"/>
            <w:vAlign w:val="center"/>
          </w:tcPr>
          <w:p>
            <w:r/>
            <w:r>
              <w:rPr>
                <w:rFonts w:ascii="Calibri" w:hAnsi="Calibri"/>
                <w:sz w:val="19"/>
              </w:rPr>
              <w:t>€25k</w:t>
            </w:r>
          </w:p>
        </w:tc>
        <w:tc>
          <w:tcPr>
            <w:tcW w:type="dxa" w:w="2268"/>
            <w:vAlign w:val="center"/>
          </w:tcPr>
          <w:p>
            <w:r/>
            <w:r>
              <w:rPr>
                <w:rFonts w:ascii="Calibri" w:hAnsi="Calibri"/>
                <w:sz w:val="19"/>
              </w:rPr>
              <w:t>€110k</w:t>
            </w:r>
          </w:p>
        </w:tc>
        <w:tc>
          <w:tcPr>
            <w:tcW w:type="dxa" w:w="1701"/>
            <w:vAlign w:val="center"/>
          </w:tcPr>
          <w:p>
            <w:r/>
            <w:r>
              <w:rPr>
                <w:rFonts w:ascii="Calibri" w:hAnsi="Calibri"/>
                <w:sz w:val="19"/>
              </w:rPr>
              <w:t>€135k</w:t>
            </w:r>
          </w:p>
        </w:tc>
      </w:tr>
      <w:tr>
        <w:tc>
          <w:tcPr>
            <w:tcW w:type="dxa" w:w="1417"/>
            <w:shd w:val="clear" w:color="auto" w:fill="F4F6F9"/>
            <w:vAlign w:val="center"/>
          </w:tcPr>
          <w:p>
            <w:r/>
            <w:r>
              <w:rPr>
                <w:rFonts w:ascii="Calibri" w:hAnsi="Calibri"/>
                <w:sz w:val="19"/>
              </w:rPr>
              <w:t>Y2 (FY27)</w:t>
            </w:r>
          </w:p>
        </w:tc>
        <w:tc>
          <w:tcPr>
            <w:tcW w:type="dxa" w:w="2268"/>
            <w:shd w:val="clear" w:color="auto" w:fill="F4F6F9"/>
            <w:vAlign w:val="center"/>
          </w:tcPr>
          <w:p>
            <w:r/>
            <w:r>
              <w:rPr>
                <w:rFonts w:ascii="Calibri" w:hAnsi="Calibri"/>
                <w:sz w:val="19"/>
              </w:rPr>
              <w:t>€60k</w:t>
            </w:r>
          </w:p>
        </w:tc>
        <w:tc>
          <w:tcPr>
            <w:tcW w:type="dxa" w:w="2268"/>
            <w:shd w:val="clear" w:color="auto" w:fill="F4F6F9"/>
            <w:vAlign w:val="center"/>
          </w:tcPr>
          <w:p>
            <w:r/>
            <w:r>
              <w:rPr>
                <w:rFonts w:ascii="Calibri" w:hAnsi="Calibri"/>
                <w:sz w:val="19"/>
              </w:rPr>
              <w:t>€180k</w:t>
            </w:r>
          </w:p>
        </w:tc>
        <w:tc>
          <w:tcPr>
            <w:tcW w:type="dxa" w:w="1701"/>
            <w:shd w:val="clear" w:color="auto" w:fill="F4F6F9"/>
            <w:vAlign w:val="center"/>
          </w:tcPr>
          <w:p>
            <w:r/>
            <w:r>
              <w:rPr>
                <w:rFonts w:ascii="Calibri" w:hAnsi="Calibri"/>
                <w:sz w:val="19"/>
              </w:rPr>
              <w:t>€240k</w:t>
            </w:r>
          </w:p>
        </w:tc>
      </w:tr>
      <w:tr>
        <w:tc>
          <w:tcPr>
            <w:tcW w:type="dxa" w:w="1417"/>
            <w:vAlign w:val="center"/>
          </w:tcPr>
          <w:p>
            <w:r/>
            <w:r>
              <w:rPr>
                <w:rFonts w:ascii="Calibri" w:hAnsi="Calibri"/>
                <w:sz w:val="19"/>
              </w:rPr>
              <w:t>Y3 (FY28)</w:t>
            </w:r>
          </w:p>
        </w:tc>
        <w:tc>
          <w:tcPr>
            <w:tcW w:type="dxa" w:w="2268"/>
            <w:vAlign w:val="center"/>
          </w:tcPr>
          <w:p>
            <w:r/>
            <w:r>
              <w:rPr>
                <w:rFonts w:ascii="Calibri" w:hAnsi="Calibri"/>
                <w:sz w:val="19"/>
              </w:rPr>
              <w:t>€120k</w:t>
            </w:r>
          </w:p>
        </w:tc>
        <w:tc>
          <w:tcPr>
            <w:tcW w:type="dxa" w:w="2268"/>
            <w:vAlign w:val="center"/>
          </w:tcPr>
          <w:p>
            <w:r/>
            <w:r>
              <w:rPr>
                <w:rFonts w:ascii="Calibri" w:hAnsi="Calibri"/>
                <w:sz w:val="19"/>
              </w:rPr>
              <w:t>€260k</w:t>
            </w:r>
          </w:p>
        </w:tc>
        <w:tc>
          <w:tcPr>
            <w:tcW w:type="dxa" w:w="1701"/>
            <w:vAlign w:val="center"/>
          </w:tcPr>
          <w:p>
            <w:r/>
            <w:r>
              <w:rPr>
                <w:rFonts w:ascii="Calibri" w:hAnsi="Calibri"/>
                <w:sz w:val="19"/>
              </w:rPr>
              <w:t>€380k</w:t>
            </w:r>
          </w:p>
        </w:tc>
      </w:tr>
      <w:tr>
        <w:tc>
          <w:tcPr>
            <w:tcW w:type="dxa" w:w="1417"/>
            <w:shd w:val="clear" w:color="auto" w:fill="F4F6F9"/>
            <w:vAlign w:val="center"/>
          </w:tcPr>
          <w:p>
            <w:r/>
            <w:r>
              <w:rPr>
                <w:rFonts w:ascii="Calibri" w:hAnsi="Calibri"/>
                <w:sz w:val="19"/>
              </w:rPr>
              <w:t>Y4 (FY29)</w:t>
            </w:r>
          </w:p>
        </w:tc>
        <w:tc>
          <w:tcPr>
            <w:tcW w:type="dxa" w:w="2268"/>
            <w:shd w:val="clear" w:color="auto" w:fill="F4F6F9"/>
            <w:vAlign w:val="center"/>
          </w:tcPr>
          <w:p>
            <w:r/>
            <w:r>
              <w:rPr>
                <w:rFonts w:ascii="Calibri" w:hAnsi="Calibri"/>
                <w:sz w:val="19"/>
              </w:rPr>
              <w:t>€200k</w:t>
            </w:r>
          </w:p>
        </w:tc>
        <w:tc>
          <w:tcPr>
            <w:tcW w:type="dxa" w:w="2268"/>
            <w:shd w:val="clear" w:color="auto" w:fill="F4F6F9"/>
            <w:vAlign w:val="center"/>
          </w:tcPr>
          <w:p>
            <w:r/>
            <w:r>
              <w:rPr>
                <w:rFonts w:ascii="Calibri" w:hAnsi="Calibri"/>
                <w:sz w:val="19"/>
              </w:rPr>
              <w:t>€330k</w:t>
            </w:r>
          </w:p>
        </w:tc>
        <w:tc>
          <w:tcPr>
            <w:tcW w:type="dxa" w:w="1701"/>
            <w:shd w:val="clear" w:color="auto" w:fill="F4F6F9"/>
            <w:vAlign w:val="center"/>
          </w:tcPr>
          <w:p>
            <w:r/>
            <w:r>
              <w:rPr>
                <w:rFonts w:ascii="Calibri" w:hAnsi="Calibri"/>
                <w:sz w:val="19"/>
              </w:rPr>
              <w:t>€530k</w:t>
            </w:r>
          </w:p>
        </w:tc>
      </w:tr>
      <w:tr>
        <w:tc>
          <w:tcPr>
            <w:tcW w:type="dxa" w:w="1417"/>
            <w:vAlign w:val="center"/>
          </w:tcPr>
          <w:p>
            <w:r/>
            <w:r>
              <w:rPr>
                <w:rFonts w:ascii="Calibri" w:hAnsi="Calibri"/>
                <w:sz w:val="19"/>
              </w:rPr>
              <w:t>Y5 (FY30)</w:t>
            </w:r>
          </w:p>
        </w:tc>
        <w:tc>
          <w:tcPr>
            <w:tcW w:type="dxa" w:w="2268"/>
            <w:vAlign w:val="center"/>
          </w:tcPr>
          <w:p>
            <w:r/>
            <w:r>
              <w:rPr>
                <w:rFonts w:ascii="Calibri" w:hAnsi="Calibri"/>
                <w:sz w:val="19"/>
              </w:rPr>
              <w:t>€280k</w:t>
            </w:r>
          </w:p>
        </w:tc>
        <w:tc>
          <w:tcPr>
            <w:tcW w:type="dxa" w:w="2268"/>
            <w:vAlign w:val="center"/>
          </w:tcPr>
          <w:p>
            <w:r/>
            <w:r>
              <w:rPr>
                <w:rFonts w:ascii="Calibri" w:hAnsi="Calibri"/>
                <w:sz w:val="19"/>
              </w:rPr>
              <w:t>€410k</w:t>
            </w:r>
          </w:p>
        </w:tc>
        <w:tc>
          <w:tcPr>
            <w:tcW w:type="dxa" w:w="1701"/>
            <w:vAlign w:val="center"/>
          </w:tcPr>
          <w:p>
            <w:r/>
            <w:r>
              <w:rPr>
                <w:rFonts w:ascii="Calibri" w:hAnsi="Calibri"/>
                <w:sz w:val="19"/>
              </w:rPr>
              <w:t>€690k</w:t>
            </w:r>
          </w:p>
        </w:tc>
      </w:tr>
    </w:tbl>
    <w:p>
      <w:r>
        <w:br w:type="page"/>
      </w:r>
    </w:p>
    <w:p>
      <w:pPr>
        <w:spacing w:before="360" w:after="120"/>
      </w:pPr>
      <w:r>
        <w:rPr>
          <w:rFonts w:ascii="Calibri" w:hAnsi="Calibri"/>
          <w:b/>
          <w:color w:val="1F3A5F"/>
          <w:sz w:val="40"/>
        </w:rPr>
        <w:t>8. 100-Day Launch Plan</w:t>
      </w:r>
    </w:p>
    <w:p>
      <w:pPr>
        <w:spacing w:after="80" w:line="300" w:lineRule="auto"/>
      </w:pPr>
      <w:r>
        <w:rPr>
          <w:rFonts w:ascii="Calibri" w:hAnsi="Calibri"/>
          <w:b w:val="0"/>
          <w:i w:val="0"/>
          <w:color w:val="101010"/>
          <w:sz w:val="21"/>
        </w:rPr>
        <w:t>The 100-day plan is broken into 4 phases: Foundation (D1–25), Sourcing (D26–60), Closing (D61–90), Scale prep (D91–100). The detailed Gantt with owners, dependencies and KPIs is in the accompanying Excel model (tab: 100-Day Plan). This section is the narrative.</w:t>
      </w:r>
    </w:p>
    <w:p>
      <w:pPr>
        <w:spacing w:before="280" w:after="80"/>
      </w:pPr>
      <w:r>
        <w:rPr>
          <w:rFonts w:ascii="Calibri" w:hAnsi="Calibri"/>
          <w:b/>
          <w:color w:val="1F3A5F"/>
          <w:sz w:val="28"/>
        </w:rPr>
        <w:t>8.1  Phase 1 — Foundation (D1–25)</w:t>
      </w:r>
    </w:p>
    <w:p>
      <w:pPr>
        <w:spacing w:before="200" w:after="40"/>
      </w:pPr>
      <w:r>
        <w:rPr>
          <w:rFonts w:ascii="Calibri" w:hAnsi="Calibri"/>
          <w:b/>
          <w:color w:val="FF6B35"/>
          <w:sz w:val="23"/>
        </w:rPr>
        <w:t>Legal and structure</w:t>
      </w:r>
    </w:p>
    <w:p>
      <w:pPr>
        <w:pStyle w:val="ListBullet"/>
        <w:spacing w:after="40" w:line="288" w:lineRule="auto"/>
      </w:pPr>
      <w:r>
        <w:rPr>
          <w:rFonts w:ascii="Calibri" w:hAnsi="Calibri"/>
          <w:sz w:val="21"/>
        </w:rPr>
        <w:t>D1 — Cofounder agreement signed; equity split locked (founders 80%, option pool 15%, advisor pool 5%).</w:t>
      </w:r>
    </w:p>
    <w:p>
      <w:pPr>
        <w:pStyle w:val="ListBullet"/>
        <w:spacing w:after="40" w:line="288" w:lineRule="auto"/>
      </w:pPr>
      <w:r>
        <w:rPr>
          <w:rFonts w:ascii="Calibri" w:hAnsi="Calibri"/>
          <w:sz w:val="21"/>
        </w:rPr>
        <w:t>D3 — Engage Cyprus law firm; mandate Ledger Holdings Limited incorporation.</w:t>
      </w:r>
    </w:p>
    <w:p>
      <w:pPr>
        <w:pStyle w:val="ListBullet"/>
        <w:spacing w:after="40" w:line="288" w:lineRule="auto"/>
      </w:pPr>
      <w:r>
        <w:rPr>
          <w:rFonts w:ascii="Calibri" w:hAnsi="Calibri"/>
          <w:sz w:val="21"/>
        </w:rPr>
        <w:t>D10 — Open NL personal advisor + Cyprus group bank accounts (Bank of Cyprus, ING Cyprus, Revolut Business).</w:t>
      </w:r>
    </w:p>
    <w:p>
      <w:pPr>
        <w:pStyle w:val="ListBullet"/>
        <w:spacing w:after="40" w:line="288" w:lineRule="auto"/>
      </w:pPr>
      <w:r>
        <w:rPr>
          <w:rFonts w:ascii="Calibri" w:hAnsi="Calibri"/>
          <w:sz w:val="21"/>
        </w:rPr>
        <w:t>D15 — Cyprus holdco incorporated; first board minutes signed.</w:t>
      </w:r>
    </w:p>
    <w:p>
      <w:pPr>
        <w:pStyle w:val="ListBullet"/>
        <w:spacing w:after="40" w:line="288" w:lineRule="auto"/>
      </w:pPr>
      <w:r>
        <w:rPr>
          <w:rFonts w:ascii="Calibri" w:hAnsi="Calibri"/>
          <w:sz w:val="21"/>
        </w:rPr>
        <w:t>D20 — Ledger Poland Sp. z o.o. registration filed (KRS).</w:t>
      </w:r>
    </w:p>
    <w:p>
      <w:pPr>
        <w:spacing w:before="200" w:after="40"/>
      </w:pPr>
      <w:r>
        <w:rPr>
          <w:rFonts w:ascii="Calibri" w:hAnsi="Calibri"/>
          <w:b/>
          <w:color w:val="FF6B35"/>
          <w:sz w:val="23"/>
        </w:rPr>
        <w:t>Team</w:t>
      </w:r>
    </w:p>
    <w:p>
      <w:pPr>
        <w:pStyle w:val="ListBullet"/>
        <w:spacing w:after="40" w:line="288" w:lineRule="auto"/>
      </w:pPr>
      <w:r>
        <w:rPr>
          <w:rFonts w:ascii="Calibri" w:hAnsi="Calibri"/>
          <w:sz w:val="21"/>
        </w:rPr>
        <w:t>D5 — Job specs published for: M&amp;A originator (PL), Head of Integration, Head of AI / Product.</w:t>
      </w:r>
    </w:p>
    <w:p>
      <w:pPr>
        <w:pStyle w:val="ListBullet"/>
        <w:spacing w:after="40" w:line="288" w:lineRule="auto"/>
      </w:pPr>
      <w:r>
        <w:rPr>
          <w:rFonts w:ascii="Calibri" w:hAnsi="Calibri"/>
          <w:sz w:val="21"/>
        </w:rPr>
        <w:t>D15 — First-round interviews complete (10–15 candidates per role).</w:t>
      </w:r>
    </w:p>
    <w:p>
      <w:pPr>
        <w:pStyle w:val="ListBullet"/>
        <w:spacing w:after="40" w:line="288" w:lineRule="auto"/>
      </w:pPr>
      <w:r>
        <w:rPr>
          <w:rFonts w:ascii="Calibri" w:hAnsi="Calibri"/>
          <w:sz w:val="21"/>
        </w:rPr>
        <w:t>D25 — First key hire (M&amp;A originator) signed, starts D40.</w:t>
      </w:r>
    </w:p>
    <w:p>
      <w:pPr>
        <w:spacing w:before="200" w:after="40"/>
      </w:pPr>
      <w:r>
        <w:rPr>
          <w:rFonts w:ascii="Calibri" w:hAnsi="Calibri"/>
          <w:b/>
          <w:color w:val="FF6B35"/>
          <w:sz w:val="23"/>
        </w:rPr>
        <w:t>Capital</w:t>
      </w:r>
    </w:p>
    <w:p>
      <w:pPr>
        <w:pStyle w:val="ListBullet"/>
        <w:spacing w:after="40" w:line="288" w:lineRule="auto"/>
      </w:pPr>
      <w:r>
        <w:rPr>
          <w:rFonts w:ascii="Calibri" w:hAnsi="Calibri"/>
          <w:sz w:val="21"/>
        </w:rPr>
        <w:t>D7 — Founder commit + 5 angel commits locked (€250k total).</w:t>
      </w:r>
    </w:p>
    <w:p>
      <w:pPr>
        <w:pStyle w:val="ListBullet"/>
        <w:spacing w:after="40" w:line="288" w:lineRule="auto"/>
      </w:pPr>
      <w:r>
        <w:rPr>
          <w:rFonts w:ascii="Calibri" w:hAnsi="Calibri"/>
          <w:sz w:val="21"/>
        </w:rPr>
        <w:t>D14 — SAFE / convertible notes signed.</w:t>
      </w:r>
    </w:p>
    <w:p>
      <w:pPr>
        <w:pStyle w:val="ListBullet"/>
        <w:spacing w:after="40" w:line="288" w:lineRule="auto"/>
      </w:pPr>
      <w:r>
        <w:rPr>
          <w:rFonts w:ascii="Calibri" w:hAnsi="Calibri"/>
          <w:sz w:val="21"/>
        </w:rPr>
        <w:t>D25 — Series A pitch deck draft v1.</w:t>
      </w:r>
    </w:p>
    <w:p>
      <w:pPr>
        <w:spacing w:before="280" w:after="80"/>
      </w:pPr>
      <w:r>
        <w:rPr>
          <w:rFonts w:ascii="Calibri" w:hAnsi="Calibri"/>
          <w:b/>
          <w:color w:val="1F3A5F"/>
          <w:sz w:val="28"/>
        </w:rPr>
        <w:t>8.2  Phase 2 — Sourcing (D26–60)</w:t>
      </w:r>
    </w:p>
    <w:p>
      <w:pPr>
        <w:spacing w:before="200" w:after="40"/>
      </w:pPr>
      <w:r>
        <w:rPr>
          <w:rFonts w:ascii="Calibri" w:hAnsi="Calibri"/>
          <w:b/>
          <w:color w:val="FF6B35"/>
          <w:sz w:val="23"/>
        </w:rPr>
        <w:t>Pipeline</w:t>
      </w:r>
    </w:p>
    <w:p>
      <w:pPr>
        <w:pStyle w:val="ListBullet"/>
        <w:spacing w:after="40" w:line="288" w:lineRule="auto"/>
      </w:pPr>
      <w:r>
        <w:rPr>
          <w:rFonts w:ascii="Calibri" w:hAnsi="Calibri"/>
          <w:sz w:val="21"/>
        </w:rPr>
        <w:t>D28 — Polish target universe scraped (KRS + REGON + sector codes) — 8,500 sub-€2M practices.</w:t>
      </w:r>
    </w:p>
    <w:p>
      <w:pPr>
        <w:pStyle w:val="ListBullet"/>
        <w:spacing w:after="40" w:line="288" w:lineRule="auto"/>
      </w:pPr>
      <w:r>
        <w:rPr>
          <w:rFonts w:ascii="Calibri" w:hAnsi="Calibri"/>
          <w:sz w:val="21"/>
        </w:rPr>
        <w:t>D32 — First 200 targets screened on revenue / margin / location / age of owner.</w:t>
      </w:r>
    </w:p>
    <w:p>
      <w:pPr>
        <w:pStyle w:val="ListBullet"/>
        <w:spacing w:after="40" w:line="288" w:lineRule="auto"/>
      </w:pPr>
      <w:r>
        <w:rPr>
          <w:rFonts w:ascii="Calibri" w:hAnsi="Calibri"/>
          <w:sz w:val="21"/>
        </w:rPr>
        <w:t>D40 — Outreach campaign live (40 letters / week to qualifying targets).</w:t>
      </w:r>
    </w:p>
    <w:p>
      <w:pPr>
        <w:pStyle w:val="ListBullet"/>
        <w:spacing w:after="40" w:line="288" w:lineRule="auto"/>
      </w:pPr>
      <w:r>
        <w:rPr>
          <w:rFonts w:ascii="Calibri" w:hAnsi="Calibri"/>
          <w:sz w:val="21"/>
        </w:rPr>
        <w:t>D45 — First 8–12 introductory meetings booked.</w:t>
      </w:r>
    </w:p>
    <w:p>
      <w:pPr>
        <w:pStyle w:val="ListBullet"/>
        <w:spacing w:after="40" w:line="288" w:lineRule="auto"/>
      </w:pPr>
      <w:r>
        <w:rPr>
          <w:rFonts w:ascii="Calibri" w:hAnsi="Calibri"/>
          <w:sz w:val="21"/>
        </w:rPr>
        <w:t>D55 — First 2–3 LOIs / NBOs drafted on qualified targets.</w:t>
      </w:r>
    </w:p>
    <w:p>
      <w:pPr>
        <w:spacing w:before="200" w:after="40"/>
      </w:pPr>
      <w:r>
        <w:rPr>
          <w:rFonts w:ascii="Calibri" w:hAnsi="Calibri"/>
          <w:b/>
          <w:color w:val="FF6B35"/>
          <w:sz w:val="23"/>
        </w:rPr>
        <w:t>AI overlay pre-build</w:t>
      </w:r>
    </w:p>
    <w:p>
      <w:pPr>
        <w:pStyle w:val="ListBullet"/>
        <w:spacing w:after="40" w:line="288" w:lineRule="auto"/>
      </w:pPr>
      <w:r>
        <w:rPr>
          <w:rFonts w:ascii="Calibri" w:hAnsi="Calibri"/>
          <w:sz w:val="21"/>
        </w:rPr>
        <w:t>D30 — Architecture review with Head of AI candidate / advisor.</w:t>
      </w:r>
    </w:p>
    <w:p>
      <w:pPr>
        <w:pStyle w:val="ListBullet"/>
        <w:spacing w:after="40" w:line="288" w:lineRule="auto"/>
      </w:pPr>
      <w:r>
        <w:rPr>
          <w:rFonts w:ascii="Calibri" w:hAnsi="Calibri"/>
          <w:sz w:val="21"/>
        </w:rPr>
        <w:t>D45 — POC pipeline: Azure Document Intelligence on 1,000 sample Polish invoices, classification rate measured.</w:t>
      </w:r>
    </w:p>
    <w:p>
      <w:pPr>
        <w:pStyle w:val="ListBullet"/>
        <w:spacing w:after="40" w:line="288" w:lineRule="auto"/>
      </w:pPr>
      <w:r>
        <w:rPr>
          <w:rFonts w:ascii="Calibri" w:hAnsi="Calibri"/>
          <w:sz w:val="21"/>
        </w:rPr>
        <w:t>D60 — Decision: build-or-partner on classification model. Default: API-based GPT-4o + Document Intelligence, fine-tune in Y2.</w:t>
      </w:r>
    </w:p>
    <w:p>
      <w:pPr>
        <w:spacing w:before="200" w:after="40"/>
      </w:pPr>
      <w:r>
        <w:rPr>
          <w:rFonts w:ascii="Calibri" w:hAnsi="Calibri"/>
          <w:b/>
          <w:color w:val="FF6B35"/>
          <w:sz w:val="23"/>
        </w:rPr>
        <w:t>Brand and presence</w:t>
      </w:r>
    </w:p>
    <w:p>
      <w:pPr>
        <w:pStyle w:val="ListBullet"/>
        <w:spacing w:after="40" w:line="288" w:lineRule="auto"/>
      </w:pPr>
      <w:r>
        <w:rPr>
          <w:rFonts w:ascii="Calibri" w:hAnsi="Calibri"/>
          <w:sz w:val="21"/>
        </w:rPr>
        <w:t>D35 — Ledger brand identity finalized (name, logo, single-page website, founder LinkedIn alignment).</w:t>
      </w:r>
    </w:p>
    <w:p>
      <w:pPr>
        <w:pStyle w:val="ListBullet"/>
        <w:spacing w:after="40" w:line="288" w:lineRule="auto"/>
      </w:pPr>
      <w:r>
        <w:rPr>
          <w:rFonts w:ascii="Calibri" w:hAnsi="Calibri"/>
          <w:sz w:val="21"/>
        </w:rPr>
        <w:t>D50 — Single-page site live (ledger.holdings or similar) with M&amp;A inquiry CTA.</w:t>
      </w:r>
    </w:p>
    <w:p>
      <w:pPr>
        <w:spacing w:before="280" w:after="80"/>
      </w:pPr>
      <w:r>
        <w:rPr>
          <w:rFonts w:ascii="Calibri" w:hAnsi="Calibri"/>
          <w:b/>
          <w:color w:val="1F3A5F"/>
          <w:sz w:val="28"/>
        </w:rPr>
        <w:t>8.3  Phase 3 — Closing (D61–90)</w:t>
      </w:r>
    </w:p>
    <w:p>
      <w:pPr>
        <w:spacing w:before="200" w:after="40"/>
      </w:pPr>
      <w:r>
        <w:rPr>
          <w:rFonts w:ascii="Calibri" w:hAnsi="Calibri"/>
          <w:b/>
          <w:color w:val="FF6B35"/>
          <w:sz w:val="23"/>
        </w:rPr>
        <w:t>LEDGER-1 close (Poland)</w:t>
      </w:r>
    </w:p>
    <w:p>
      <w:pPr>
        <w:pStyle w:val="ListBullet"/>
        <w:spacing w:after="40" w:line="288" w:lineRule="auto"/>
      </w:pPr>
      <w:r>
        <w:rPr>
          <w:rFonts w:ascii="Calibri" w:hAnsi="Calibri"/>
          <w:sz w:val="21"/>
        </w:rPr>
        <w:t>D65 — Term sheet signed with first target.</w:t>
      </w:r>
    </w:p>
    <w:p>
      <w:pPr>
        <w:pStyle w:val="ListBullet"/>
        <w:spacing w:after="40" w:line="288" w:lineRule="auto"/>
      </w:pPr>
      <w:r>
        <w:rPr>
          <w:rFonts w:ascii="Calibri" w:hAnsi="Calibri"/>
          <w:sz w:val="21"/>
        </w:rPr>
        <w:t>D70 — Due diligence kickoff (commercial, financial, legal, ops, tech).</w:t>
      </w:r>
    </w:p>
    <w:p>
      <w:pPr>
        <w:pStyle w:val="ListBullet"/>
        <w:spacing w:after="40" w:line="288" w:lineRule="auto"/>
      </w:pPr>
      <w:r>
        <w:rPr>
          <w:rFonts w:ascii="Calibri" w:hAnsi="Calibri"/>
          <w:sz w:val="21"/>
        </w:rPr>
        <w:t>D75 — Reps &amp; warranties insurance bound.</w:t>
      </w:r>
    </w:p>
    <w:p>
      <w:pPr>
        <w:pStyle w:val="ListBullet"/>
        <w:spacing w:after="40" w:line="288" w:lineRule="auto"/>
      </w:pPr>
      <w:r>
        <w:rPr>
          <w:rFonts w:ascii="Calibri" w:hAnsi="Calibri"/>
          <w:sz w:val="21"/>
        </w:rPr>
        <w:t>D80 — Final SPA negotiated.</w:t>
      </w:r>
    </w:p>
    <w:p>
      <w:pPr>
        <w:pStyle w:val="ListBullet"/>
        <w:spacing w:after="40" w:line="288" w:lineRule="auto"/>
      </w:pPr>
      <w:r>
        <w:rPr>
          <w:rFonts w:ascii="Calibri" w:hAnsi="Calibri"/>
          <w:sz w:val="21"/>
        </w:rPr>
        <w:t>D85 — Closing.</w:t>
      </w:r>
    </w:p>
    <w:p>
      <w:pPr>
        <w:pStyle w:val="ListBullet"/>
        <w:spacing w:after="40" w:line="288" w:lineRule="auto"/>
      </w:pPr>
      <w:r>
        <w:rPr>
          <w:rFonts w:ascii="Calibri" w:hAnsi="Calibri"/>
          <w:sz w:val="21"/>
        </w:rPr>
        <w:t>D87 — Welcome week kickoff (Day-30 playbook starts).</w:t>
      </w:r>
    </w:p>
    <w:p>
      <w:pPr>
        <w:spacing w:before="200" w:after="40"/>
      </w:pPr>
      <w:r>
        <w:rPr>
          <w:rFonts w:ascii="Calibri" w:hAnsi="Calibri"/>
          <w:b/>
          <w:color w:val="FF6B35"/>
          <w:sz w:val="23"/>
        </w:rPr>
        <w:t>Series A prep</w:t>
      </w:r>
    </w:p>
    <w:p>
      <w:pPr>
        <w:pStyle w:val="ListBullet"/>
        <w:spacing w:after="40" w:line="288" w:lineRule="auto"/>
      </w:pPr>
      <w:r>
        <w:rPr>
          <w:rFonts w:ascii="Calibri" w:hAnsi="Calibri"/>
          <w:sz w:val="21"/>
        </w:rPr>
        <w:t>D70 — Series A deck refined with LEDGER-1 data points.</w:t>
      </w:r>
    </w:p>
    <w:p>
      <w:pPr>
        <w:pStyle w:val="ListBullet"/>
        <w:spacing w:after="40" w:line="288" w:lineRule="auto"/>
      </w:pPr>
      <w:r>
        <w:rPr>
          <w:rFonts w:ascii="Calibri" w:hAnsi="Calibri"/>
          <w:sz w:val="21"/>
        </w:rPr>
        <w:t>D75 — Investor longlist (30 funds): Hg, EQT, Vista, Visma direct, Mercia, Tilia, Innovestor, Notion.</w:t>
      </w:r>
    </w:p>
    <w:p>
      <w:pPr>
        <w:pStyle w:val="ListBullet"/>
        <w:spacing w:after="40" w:line="288" w:lineRule="auto"/>
      </w:pPr>
      <w:r>
        <w:rPr>
          <w:rFonts w:ascii="Calibri" w:hAnsi="Calibri"/>
          <w:sz w:val="21"/>
        </w:rPr>
        <w:t>D85 — First investor meetings booked.</w:t>
      </w:r>
    </w:p>
    <w:p>
      <w:pPr>
        <w:spacing w:before="280" w:after="80"/>
      </w:pPr>
      <w:r>
        <w:rPr>
          <w:rFonts w:ascii="Calibri" w:hAnsi="Calibri"/>
          <w:b/>
          <w:color w:val="1F3A5F"/>
          <w:sz w:val="28"/>
        </w:rPr>
        <w:t>8.4  Phase 4 — Scale prep (D91–100)</w:t>
      </w:r>
    </w:p>
    <w:p>
      <w:pPr>
        <w:spacing w:before="200" w:after="40"/>
      </w:pPr>
      <w:r>
        <w:rPr>
          <w:rFonts w:ascii="Calibri" w:hAnsi="Calibri"/>
          <w:b/>
          <w:color w:val="FF6B35"/>
          <w:sz w:val="23"/>
        </w:rPr>
        <w:t>Operations</w:t>
      </w:r>
    </w:p>
    <w:p>
      <w:pPr>
        <w:pStyle w:val="ListBullet"/>
        <w:spacing w:after="40" w:line="288" w:lineRule="auto"/>
      </w:pPr>
      <w:r>
        <w:rPr>
          <w:rFonts w:ascii="Calibri" w:hAnsi="Calibri"/>
          <w:sz w:val="21"/>
        </w:rPr>
        <w:t>D92 — LEDGER-1 first 30-day review.</w:t>
      </w:r>
    </w:p>
    <w:p>
      <w:pPr>
        <w:pStyle w:val="ListBullet"/>
        <w:spacing w:after="40" w:line="288" w:lineRule="auto"/>
      </w:pPr>
      <w:r>
        <w:rPr>
          <w:rFonts w:ascii="Calibri" w:hAnsi="Calibri"/>
          <w:sz w:val="21"/>
        </w:rPr>
        <w:t>D95 — Second target LOI in flight (LEDGER-2).</w:t>
      </w:r>
    </w:p>
    <w:p>
      <w:pPr>
        <w:pStyle w:val="ListBullet"/>
        <w:spacing w:after="40" w:line="288" w:lineRule="auto"/>
      </w:pPr>
      <w:r>
        <w:rPr>
          <w:rFonts w:ascii="Calibri" w:hAnsi="Calibri"/>
          <w:sz w:val="21"/>
        </w:rPr>
        <w:t>D98 — Cyprus target (LEDGER-CY-1) screening starts.</w:t>
      </w:r>
    </w:p>
    <w:p>
      <w:pPr>
        <w:spacing w:before="200" w:after="40"/>
      </w:pPr>
      <w:r>
        <w:rPr>
          <w:rFonts w:ascii="Calibri" w:hAnsi="Calibri"/>
          <w:b/>
          <w:color w:val="FF6B35"/>
          <w:sz w:val="23"/>
        </w:rPr>
        <w:t>Capital</w:t>
      </w:r>
    </w:p>
    <w:p>
      <w:pPr>
        <w:pStyle w:val="ListBullet"/>
        <w:spacing w:after="40" w:line="288" w:lineRule="auto"/>
      </w:pPr>
      <w:r>
        <w:rPr>
          <w:rFonts w:ascii="Calibri" w:hAnsi="Calibri"/>
          <w:sz w:val="21"/>
        </w:rPr>
        <w:t>D95 — Series A first round of partner meetings.</w:t>
      </w:r>
    </w:p>
    <w:p>
      <w:pPr>
        <w:pStyle w:val="ListBullet"/>
        <w:spacing w:after="40" w:line="288" w:lineRule="auto"/>
      </w:pPr>
      <w:r>
        <w:rPr>
          <w:rFonts w:ascii="Calibri" w:hAnsi="Calibri"/>
          <w:sz w:val="21"/>
        </w:rPr>
        <w:t>D100 — Series A term sheets requested (target close month 9).</w:t>
      </w:r>
    </w:p>
    <w:p>
      <w:r>
        <w:br w:type="page"/>
      </w:r>
    </w:p>
    <w:p>
      <w:pPr>
        <w:spacing w:before="360" w:after="120"/>
      </w:pPr>
      <w:r>
        <w:rPr>
          <w:rFonts w:ascii="Calibri" w:hAnsi="Calibri"/>
          <w:b/>
          <w:color w:val="1F3A5F"/>
          <w:sz w:val="40"/>
        </w:rPr>
        <w:t>9. Capital Plan and Returns</w:t>
      </w:r>
    </w:p>
    <w:p>
      <w:pPr>
        <w:spacing w:before="280" w:after="80"/>
      </w:pPr>
      <w:r>
        <w:rPr>
          <w:rFonts w:ascii="Calibri" w:hAnsi="Calibri"/>
          <w:b/>
          <w:color w:val="1F3A5F"/>
          <w:sz w:val="28"/>
        </w:rPr>
        <w:t>9.1  Funding sequence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84"/>
            <w:shd w:val="clear" w:color="auto" w:fill="1F3A5F"/>
            <w:vAlign w:val="center"/>
          </w:tcPr>
          <w:p>
            <w:r/>
            <w:r>
              <w:rPr>
                <w:rFonts w:ascii="Calibri" w:hAnsi="Calibri"/>
                <w:b/>
                <w:color w:val="FFFFFF"/>
                <w:sz w:val="20"/>
              </w:rPr>
              <w:t>Round</w:t>
            </w:r>
          </w:p>
        </w:tc>
        <w:tc>
          <w:tcPr>
            <w:tcW w:type="dxa" w:w="1417"/>
            <w:shd w:val="clear" w:color="auto" w:fill="1F3A5F"/>
            <w:vAlign w:val="center"/>
          </w:tcPr>
          <w:p>
            <w:r/>
            <w:r>
              <w:rPr>
                <w:rFonts w:ascii="Calibri" w:hAnsi="Calibri"/>
                <w:b/>
                <w:color w:val="FFFFFF"/>
                <w:sz w:val="20"/>
              </w:rPr>
              <w:t>Timing</w:t>
            </w:r>
          </w:p>
        </w:tc>
        <w:tc>
          <w:tcPr>
            <w:tcW w:type="dxa" w:w="1134"/>
            <w:shd w:val="clear" w:color="auto" w:fill="1F3A5F"/>
            <w:vAlign w:val="center"/>
          </w:tcPr>
          <w:p>
            <w:r/>
            <w:r>
              <w:rPr>
                <w:rFonts w:ascii="Calibri" w:hAnsi="Calibri"/>
                <w:b/>
                <w:color w:val="FFFFFF"/>
                <w:sz w:val="20"/>
              </w:rPr>
              <w:t>Size</w:t>
            </w:r>
          </w:p>
        </w:tc>
        <w:tc>
          <w:tcPr>
            <w:tcW w:type="dxa" w:w="1417"/>
            <w:shd w:val="clear" w:color="auto" w:fill="1F3A5F"/>
            <w:vAlign w:val="center"/>
          </w:tcPr>
          <w:p>
            <w:r/>
            <w:r>
              <w:rPr>
                <w:rFonts w:ascii="Calibri" w:hAnsi="Calibri"/>
                <w:b/>
                <w:color w:val="FFFFFF"/>
                <w:sz w:val="20"/>
              </w:rPr>
              <w:t>Pre-money</w:t>
            </w:r>
          </w:p>
        </w:tc>
        <w:tc>
          <w:tcPr>
            <w:tcW w:type="dxa" w:w="2835"/>
            <w:shd w:val="clear" w:color="auto" w:fill="1F3A5F"/>
            <w:vAlign w:val="center"/>
          </w:tcPr>
          <w:p>
            <w:r/>
            <w:r>
              <w:rPr>
                <w:rFonts w:ascii="Calibri" w:hAnsi="Calibri"/>
                <w:b/>
                <w:color w:val="FFFFFF"/>
                <w:sz w:val="20"/>
              </w:rPr>
              <w:t>Use of funds</w:t>
            </w:r>
          </w:p>
        </w:tc>
      </w:tr>
      <w:tr>
        <w:tc>
          <w:tcPr>
            <w:tcW w:type="dxa" w:w="1984"/>
            <w:vAlign w:val="center"/>
          </w:tcPr>
          <w:p>
            <w:r/>
            <w:r>
              <w:rPr>
                <w:rFonts w:ascii="Calibri" w:hAnsi="Calibri"/>
                <w:sz w:val="19"/>
              </w:rPr>
              <w:t>Founder + Angels (SAFE)</w:t>
            </w:r>
          </w:p>
        </w:tc>
        <w:tc>
          <w:tcPr>
            <w:tcW w:type="dxa" w:w="1417"/>
            <w:vAlign w:val="center"/>
          </w:tcPr>
          <w:p>
            <w:r/>
            <w:r>
              <w:rPr>
                <w:rFonts w:ascii="Calibri" w:hAnsi="Calibri"/>
                <w:sz w:val="19"/>
              </w:rPr>
              <w:t>Day 1</w:t>
            </w:r>
          </w:p>
        </w:tc>
        <w:tc>
          <w:tcPr>
            <w:tcW w:type="dxa" w:w="1134"/>
            <w:vAlign w:val="center"/>
          </w:tcPr>
          <w:p>
            <w:r/>
            <w:r>
              <w:rPr>
                <w:rFonts w:ascii="Calibri" w:hAnsi="Calibri"/>
                <w:sz w:val="19"/>
              </w:rPr>
              <w:t>€250k</w:t>
            </w:r>
          </w:p>
        </w:tc>
        <w:tc>
          <w:tcPr>
            <w:tcW w:type="dxa" w:w="1417"/>
            <w:vAlign w:val="center"/>
          </w:tcPr>
          <w:p>
            <w:r/>
            <w:r>
              <w:rPr>
                <w:rFonts w:ascii="Calibri" w:hAnsi="Calibri"/>
                <w:sz w:val="19"/>
              </w:rPr>
              <w:t>n/a (SAFE)</w:t>
            </w:r>
          </w:p>
        </w:tc>
        <w:tc>
          <w:tcPr>
            <w:tcW w:type="dxa" w:w="2835"/>
            <w:vAlign w:val="center"/>
          </w:tcPr>
          <w:p>
            <w:r/>
            <w:r>
              <w:rPr>
                <w:rFonts w:ascii="Calibri" w:hAnsi="Calibri"/>
                <w:sz w:val="19"/>
              </w:rPr>
              <w:t>Setup, first hires, target sourcing</w:t>
            </w:r>
          </w:p>
        </w:tc>
      </w:tr>
      <w:tr>
        <w:tc>
          <w:tcPr>
            <w:tcW w:type="dxa" w:w="1984"/>
            <w:shd w:val="clear" w:color="auto" w:fill="F4F6F9"/>
            <w:vAlign w:val="center"/>
          </w:tcPr>
          <w:p>
            <w:r/>
            <w:r>
              <w:rPr>
                <w:rFonts w:ascii="Calibri" w:hAnsi="Calibri"/>
                <w:sz w:val="19"/>
              </w:rPr>
              <w:t>Seed extension</w:t>
            </w:r>
          </w:p>
        </w:tc>
        <w:tc>
          <w:tcPr>
            <w:tcW w:type="dxa" w:w="1417"/>
            <w:shd w:val="clear" w:color="auto" w:fill="F4F6F9"/>
            <w:vAlign w:val="center"/>
          </w:tcPr>
          <w:p>
            <w:r/>
            <w:r>
              <w:rPr>
                <w:rFonts w:ascii="Calibri" w:hAnsi="Calibri"/>
                <w:sz w:val="19"/>
              </w:rPr>
              <w:t>Day 90</w:t>
            </w:r>
          </w:p>
        </w:tc>
        <w:tc>
          <w:tcPr>
            <w:tcW w:type="dxa" w:w="1134"/>
            <w:shd w:val="clear" w:color="auto" w:fill="F4F6F9"/>
            <w:vAlign w:val="center"/>
          </w:tcPr>
          <w:p>
            <w:r/>
            <w:r>
              <w:rPr>
                <w:rFonts w:ascii="Calibri" w:hAnsi="Calibri"/>
                <w:sz w:val="19"/>
              </w:rPr>
              <w:t>€750k</w:t>
            </w:r>
          </w:p>
        </w:tc>
        <w:tc>
          <w:tcPr>
            <w:tcW w:type="dxa" w:w="1417"/>
            <w:shd w:val="clear" w:color="auto" w:fill="F4F6F9"/>
            <w:vAlign w:val="center"/>
          </w:tcPr>
          <w:p>
            <w:r/>
            <w:r>
              <w:rPr>
                <w:rFonts w:ascii="Calibri" w:hAnsi="Calibri"/>
                <w:sz w:val="19"/>
              </w:rPr>
              <w:t>€4.5M</w:t>
            </w:r>
          </w:p>
        </w:tc>
        <w:tc>
          <w:tcPr>
            <w:tcW w:type="dxa" w:w="2835"/>
            <w:shd w:val="clear" w:color="auto" w:fill="F4F6F9"/>
            <w:vAlign w:val="center"/>
          </w:tcPr>
          <w:p>
            <w:r/>
            <w:r>
              <w:rPr>
                <w:rFonts w:ascii="Calibri" w:hAnsi="Calibri"/>
                <w:sz w:val="19"/>
              </w:rPr>
              <w:t>LEDGER-1 deal equity, integration team</w:t>
            </w:r>
          </w:p>
        </w:tc>
      </w:tr>
      <w:tr>
        <w:tc>
          <w:tcPr>
            <w:tcW w:type="dxa" w:w="1984"/>
            <w:vAlign w:val="center"/>
          </w:tcPr>
          <w:p>
            <w:r/>
            <w:r>
              <w:rPr>
                <w:rFonts w:ascii="Calibri" w:hAnsi="Calibri"/>
                <w:sz w:val="19"/>
              </w:rPr>
              <w:t>Series A</w:t>
            </w:r>
          </w:p>
        </w:tc>
        <w:tc>
          <w:tcPr>
            <w:tcW w:type="dxa" w:w="1417"/>
            <w:vAlign w:val="center"/>
          </w:tcPr>
          <w:p>
            <w:r/>
            <w:r>
              <w:rPr>
                <w:rFonts w:ascii="Calibri" w:hAnsi="Calibri"/>
                <w:sz w:val="19"/>
              </w:rPr>
              <w:t>Month 9</w:t>
            </w:r>
          </w:p>
        </w:tc>
        <w:tc>
          <w:tcPr>
            <w:tcW w:type="dxa" w:w="1134"/>
            <w:vAlign w:val="center"/>
          </w:tcPr>
          <w:p>
            <w:r/>
            <w:r>
              <w:rPr>
                <w:rFonts w:ascii="Calibri" w:hAnsi="Calibri"/>
                <w:sz w:val="19"/>
              </w:rPr>
              <w:t>€6.0M</w:t>
            </w:r>
          </w:p>
        </w:tc>
        <w:tc>
          <w:tcPr>
            <w:tcW w:type="dxa" w:w="1417"/>
            <w:vAlign w:val="center"/>
          </w:tcPr>
          <w:p>
            <w:r/>
            <w:r>
              <w:rPr>
                <w:rFonts w:ascii="Calibri" w:hAnsi="Calibri"/>
                <w:sz w:val="19"/>
              </w:rPr>
              <w:t>€12M</w:t>
            </w:r>
          </w:p>
        </w:tc>
        <w:tc>
          <w:tcPr>
            <w:tcW w:type="dxa" w:w="2835"/>
            <w:vAlign w:val="center"/>
          </w:tcPr>
          <w:p>
            <w:r/>
            <w:r>
              <w:rPr>
                <w:rFonts w:ascii="Calibri" w:hAnsi="Calibri"/>
                <w:sz w:val="19"/>
              </w:rPr>
              <w:t>LEDGER-2..-4 deal equity, AI build, Italy entry</w:t>
            </w:r>
          </w:p>
        </w:tc>
      </w:tr>
      <w:tr>
        <w:tc>
          <w:tcPr>
            <w:tcW w:type="dxa" w:w="1984"/>
            <w:shd w:val="clear" w:color="auto" w:fill="F4F6F9"/>
            <w:vAlign w:val="center"/>
          </w:tcPr>
          <w:p>
            <w:r/>
            <w:r>
              <w:rPr>
                <w:rFonts w:ascii="Calibri" w:hAnsi="Calibri"/>
                <w:sz w:val="19"/>
              </w:rPr>
              <w:t>Senior debt facility</w:t>
            </w:r>
          </w:p>
        </w:tc>
        <w:tc>
          <w:tcPr>
            <w:tcW w:type="dxa" w:w="1417"/>
            <w:shd w:val="clear" w:color="auto" w:fill="F4F6F9"/>
            <w:vAlign w:val="center"/>
          </w:tcPr>
          <w:p>
            <w:r/>
            <w:r>
              <w:rPr>
                <w:rFonts w:ascii="Calibri" w:hAnsi="Calibri"/>
                <w:sz w:val="19"/>
              </w:rPr>
              <w:t>Month 12</w:t>
            </w:r>
          </w:p>
        </w:tc>
        <w:tc>
          <w:tcPr>
            <w:tcW w:type="dxa" w:w="1134"/>
            <w:shd w:val="clear" w:color="auto" w:fill="F4F6F9"/>
            <w:vAlign w:val="center"/>
          </w:tcPr>
          <w:p>
            <w:r/>
            <w:r>
              <w:rPr>
                <w:rFonts w:ascii="Calibri" w:hAnsi="Calibri"/>
                <w:sz w:val="19"/>
              </w:rPr>
              <w:t>€8.0M</w:t>
            </w:r>
          </w:p>
        </w:tc>
        <w:tc>
          <w:tcPr>
            <w:tcW w:type="dxa" w:w="1417"/>
            <w:shd w:val="clear" w:color="auto" w:fill="F4F6F9"/>
            <w:vAlign w:val="center"/>
          </w:tcPr>
          <w:p>
            <w:r/>
            <w:r>
              <w:rPr>
                <w:rFonts w:ascii="Calibri" w:hAnsi="Calibri"/>
                <w:sz w:val="19"/>
              </w:rPr>
              <w:t>n/a (debt)</w:t>
            </w:r>
          </w:p>
        </w:tc>
        <w:tc>
          <w:tcPr>
            <w:tcW w:type="dxa" w:w="2835"/>
            <w:shd w:val="clear" w:color="auto" w:fill="F4F6F9"/>
            <w:vAlign w:val="center"/>
          </w:tcPr>
          <w:p>
            <w:r/>
            <w:r>
              <w:rPr>
                <w:rFonts w:ascii="Calibri" w:hAnsi="Calibri"/>
                <w:sz w:val="19"/>
              </w:rPr>
              <w:t>Levered acquisitions FY27+ at EURIBOR+600</w:t>
            </w:r>
          </w:p>
        </w:tc>
      </w:tr>
      <w:tr>
        <w:tc>
          <w:tcPr>
            <w:tcW w:type="dxa" w:w="1984"/>
            <w:vAlign w:val="center"/>
          </w:tcPr>
          <w:p>
            <w:r/>
            <w:r>
              <w:rPr>
                <w:rFonts w:ascii="Calibri" w:hAnsi="Calibri"/>
                <w:sz w:val="19"/>
              </w:rPr>
              <w:t>Series B (optional)</w:t>
            </w:r>
          </w:p>
        </w:tc>
        <w:tc>
          <w:tcPr>
            <w:tcW w:type="dxa" w:w="1417"/>
            <w:vAlign w:val="center"/>
          </w:tcPr>
          <w:p>
            <w:r/>
            <w:r>
              <w:rPr>
                <w:rFonts w:ascii="Calibri" w:hAnsi="Calibri"/>
                <w:sz w:val="19"/>
              </w:rPr>
              <w:t>Month 30</w:t>
            </w:r>
          </w:p>
        </w:tc>
        <w:tc>
          <w:tcPr>
            <w:tcW w:type="dxa" w:w="1134"/>
            <w:vAlign w:val="center"/>
          </w:tcPr>
          <w:p>
            <w:r/>
            <w:r>
              <w:rPr>
                <w:rFonts w:ascii="Calibri" w:hAnsi="Calibri"/>
                <w:sz w:val="19"/>
              </w:rPr>
              <w:t>€15–20M</w:t>
            </w:r>
          </w:p>
        </w:tc>
        <w:tc>
          <w:tcPr>
            <w:tcW w:type="dxa" w:w="1417"/>
            <w:vAlign w:val="center"/>
          </w:tcPr>
          <w:p>
            <w:r/>
            <w:r>
              <w:rPr>
                <w:rFonts w:ascii="Calibri" w:hAnsi="Calibri"/>
                <w:sz w:val="19"/>
              </w:rPr>
              <w:t>€55–70M</w:t>
            </w:r>
          </w:p>
        </w:tc>
        <w:tc>
          <w:tcPr>
            <w:tcW w:type="dxa" w:w="2835"/>
            <w:vAlign w:val="center"/>
          </w:tcPr>
          <w:p>
            <w:r/>
            <w:r>
              <w:rPr>
                <w:rFonts w:ascii="Calibri" w:hAnsi="Calibri"/>
                <w:sz w:val="19"/>
              </w:rPr>
              <w:t>Italy scale, platform build, US entry</w:t>
            </w:r>
          </w:p>
        </w:tc>
      </w:tr>
    </w:tbl>
    <w:p>
      <w:pPr>
        <w:spacing w:before="280" w:after="80"/>
      </w:pPr>
      <w:r>
        <w:rPr>
          <w:rFonts w:ascii="Calibri" w:hAnsi="Calibri"/>
          <w:b/>
          <w:color w:val="1F3A5F"/>
          <w:sz w:val="28"/>
        </w:rPr>
        <w:t>9.2  Returns waterfall</w:t>
      </w:r>
    </w:p>
    <w:p>
      <w:pPr>
        <w:spacing w:after="80" w:line="300" w:lineRule="auto"/>
      </w:pPr>
      <w:r>
        <w:rPr>
          <w:rFonts w:ascii="Calibri" w:hAnsi="Calibri"/>
          <w:b w:val="0"/>
          <w:i w:val="0"/>
          <w:color w:val="101010"/>
          <w:sz w:val="21"/>
        </w:rPr>
        <w:t>Base case (per attached financial model):</w:t>
      </w:r>
    </w:p>
    <w:p>
      <w:pPr>
        <w:pStyle w:val="ListBullet"/>
        <w:spacing w:after="40" w:line="288" w:lineRule="auto"/>
      </w:pPr>
      <w:r>
        <w:rPr>
          <w:rFonts w:ascii="Calibri" w:hAnsi="Calibri"/>
          <w:sz w:val="21"/>
        </w:rPr>
        <w:t>FY30 revenue: ~€33M (organic + 14 acquired practices)</w:t>
      </w:r>
    </w:p>
    <w:p>
      <w:pPr>
        <w:pStyle w:val="ListBullet"/>
        <w:spacing w:after="40" w:line="288" w:lineRule="auto"/>
      </w:pPr>
      <w:r>
        <w:rPr>
          <w:rFonts w:ascii="Calibri" w:hAnsi="Calibri"/>
          <w:sz w:val="21"/>
        </w:rPr>
        <w:t>FY30 EBITDA: ~€11M (33% margin, AI-overlay expansion)</w:t>
      </w:r>
    </w:p>
    <w:p>
      <w:pPr>
        <w:pStyle w:val="ListBullet"/>
        <w:spacing w:after="40" w:line="288" w:lineRule="auto"/>
      </w:pPr>
      <w:r>
        <w:rPr>
          <w:rFonts w:ascii="Calibri" w:hAnsi="Calibri"/>
          <w:sz w:val="21"/>
        </w:rPr>
        <w:t>Exit at 10× EBITDA: EV ~€110M</w:t>
      </w:r>
    </w:p>
    <w:p>
      <w:pPr>
        <w:pStyle w:val="ListBullet"/>
        <w:spacing w:after="40" w:line="288" w:lineRule="auto"/>
      </w:pPr>
      <w:r>
        <w:rPr>
          <w:rFonts w:ascii="Calibri" w:hAnsi="Calibri"/>
          <w:sz w:val="21"/>
        </w:rPr>
        <w:t>Net debt at exit: ~€18M</w:t>
      </w:r>
    </w:p>
    <w:p>
      <w:pPr>
        <w:pStyle w:val="ListBullet"/>
        <w:spacing w:after="40" w:line="288" w:lineRule="auto"/>
      </w:pPr>
      <w:r>
        <w:rPr>
          <w:rFonts w:ascii="Calibri" w:hAnsi="Calibri"/>
          <w:sz w:val="21"/>
        </w:rPr>
        <w:t>Equity value at exit: ~€92M</w:t>
      </w:r>
    </w:p>
    <w:p>
      <w:pPr>
        <w:pStyle w:val="ListBullet"/>
        <w:spacing w:after="40" w:line="288" w:lineRule="auto"/>
      </w:pPr>
      <w:r>
        <w:rPr>
          <w:rFonts w:ascii="Calibri" w:hAnsi="Calibri"/>
          <w:sz w:val="21"/>
        </w:rPr>
        <w:t>Total equity raised (Seed + Seed-Ex + Series A): €7.0M</w:t>
      </w:r>
    </w:p>
    <w:p>
      <w:pPr>
        <w:pStyle w:val="ListBullet"/>
        <w:spacing w:after="40" w:line="288" w:lineRule="auto"/>
      </w:pPr>
      <w:r>
        <w:rPr>
          <w:rFonts w:ascii="Calibri" w:hAnsi="Calibri"/>
          <w:sz w:val="21"/>
        </w:rPr>
        <w:t>Gross MoIC: ~13×; Net to Series A (after dilution): ~5.5×</w:t>
      </w:r>
    </w:p>
    <w:p>
      <w:pPr>
        <w:pStyle w:val="ListBullet"/>
        <w:spacing w:after="40" w:line="288" w:lineRule="auto"/>
      </w:pPr>
      <w:r>
        <w:rPr>
          <w:rFonts w:ascii="Calibri" w:hAnsi="Calibri"/>
          <w:sz w:val="21"/>
        </w:rPr>
        <w:t>Series A IRR: 35–40%</w:t>
      </w:r>
    </w:p>
    <w:p>
      <w:pPr>
        <w:spacing w:before="280" w:after="80"/>
      </w:pPr>
      <w:r>
        <w:rPr>
          <w:rFonts w:ascii="Calibri" w:hAnsi="Calibri"/>
          <w:b/>
          <w:color w:val="1F3A5F"/>
          <w:sz w:val="28"/>
        </w:rPr>
        <w:t>9.3  Sensitivity (excerpt)</w:t>
      </w:r>
    </w:p>
    <w:p>
      <w:pPr>
        <w:spacing w:after="80" w:line="300" w:lineRule="auto"/>
      </w:pPr>
      <w:r>
        <w:rPr>
          <w:rFonts w:ascii="Calibri" w:hAnsi="Calibri"/>
          <w:b w:val="0"/>
          <w:i w:val="0"/>
          <w:color w:val="101010"/>
          <w:sz w:val="21"/>
        </w:rPr>
        <w:t>A 1× change in exit multiple moves equity value by ~€11M; a 1pp change in EBITDA margin moves equity value by ~€3M. Full 5×5 sensitivity grid in model tab "Sensitivity".</w:t>
      </w:r>
    </w:p>
    <w:p>
      <w:r>
        <w:br w:type="page"/>
      </w:r>
    </w:p>
    <w:p>
      <w:pPr>
        <w:spacing w:before="360" w:after="120"/>
      </w:pPr>
      <w:r>
        <w:rPr>
          <w:rFonts w:ascii="Calibri" w:hAnsi="Calibri"/>
          <w:b/>
          <w:color w:val="1F3A5F"/>
          <w:sz w:val="40"/>
        </w:rPr>
        <w:t>10. Risks and Mitigations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1F3A5F"/>
            <w:vAlign w:val="center"/>
          </w:tcPr>
          <w:p>
            <w:r/>
            <w:r>
              <w:rPr>
                <w:rFonts w:ascii="Calibri" w:hAnsi="Calibri"/>
                <w:b/>
                <w:color w:val="FFFFFF"/>
                <w:sz w:val="20"/>
              </w:rPr>
              <w:t>Risk</w:t>
            </w:r>
          </w:p>
        </w:tc>
        <w:tc>
          <w:tcPr>
            <w:tcW w:type="dxa" w:w="1134"/>
            <w:shd w:val="clear" w:color="auto" w:fill="1F3A5F"/>
            <w:vAlign w:val="center"/>
          </w:tcPr>
          <w:p>
            <w:r/>
            <w:r>
              <w:rPr>
                <w:rFonts w:ascii="Calibri" w:hAnsi="Calibri"/>
                <w:b/>
                <w:color w:val="FFFFFF"/>
                <w:sz w:val="20"/>
              </w:rPr>
              <w:t>Likelihood</w:t>
            </w:r>
          </w:p>
        </w:tc>
        <w:tc>
          <w:tcPr>
            <w:tcW w:type="dxa" w:w="1134"/>
            <w:shd w:val="clear" w:color="auto" w:fill="1F3A5F"/>
            <w:vAlign w:val="center"/>
          </w:tcPr>
          <w:p>
            <w:r/>
            <w:r>
              <w:rPr>
                <w:rFonts w:ascii="Calibri" w:hAnsi="Calibri"/>
                <w:b/>
                <w:color w:val="FFFFFF"/>
                <w:sz w:val="20"/>
              </w:rPr>
              <w:t>Impact</w:t>
            </w:r>
          </w:p>
        </w:tc>
        <w:tc>
          <w:tcPr>
            <w:tcW w:type="dxa" w:w="3969"/>
            <w:shd w:val="clear" w:color="auto" w:fill="1F3A5F"/>
            <w:vAlign w:val="center"/>
          </w:tcPr>
          <w:p>
            <w:r/>
            <w:r>
              <w:rPr>
                <w:rFonts w:ascii="Calibri" w:hAnsi="Calibri"/>
                <w:b/>
                <w:color w:val="FFFFFF"/>
                <w:sz w:val="20"/>
              </w:rPr>
              <w:t>Mitigation</w:t>
            </w:r>
          </w:p>
        </w:tc>
      </w:tr>
      <w:tr>
        <w:tc>
          <w:tcPr>
            <w:tcW w:type="dxa" w:w="2268"/>
            <w:vAlign w:val="center"/>
          </w:tcPr>
          <w:p>
            <w:r/>
            <w:r>
              <w:rPr>
                <w:rFonts w:ascii="Calibri" w:hAnsi="Calibri"/>
                <w:sz w:val="19"/>
              </w:rPr>
              <w:t>Visma enters sub-€5M segment</w:t>
            </w:r>
          </w:p>
        </w:tc>
        <w:tc>
          <w:tcPr>
            <w:tcW w:type="dxa" w:w="1134"/>
            <w:vAlign w:val="center"/>
          </w:tcPr>
          <w:p>
            <w:r/>
            <w:r>
              <w:rPr>
                <w:rFonts w:ascii="Calibri" w:hAnsi="Calibri"/>
                <w:sz w:val="19"/>
              </w:rPr>
              <w:t>Medium</w:t>
            </w:r>
          </w:p>
        </w:tc>
        <w:tc>
          <w:tcPr>
            <w:tcW w:type="dxa" w:w="1134"/>
            <w:vAlign w:val="center"/>
          </w:tcPr>
          <w:p>
            <w:r/>
            <w:r>
              <w:rPr>
                <w:rFonts w:ascii="Calibri" w:hAnsi="Calibri"/>
                <w:sz w:val="19"/>
              </w:rPr>
              <w:t>High</w:t>
            </w:r>
          </w:p>
        </w:tc>
        <w:tc>
          <w:tcPr>
            <w:tcW w:type="dxa" w:w="3969"/>
            <w:vAlign w:val="center"/>
          </w:tcPr>
          <w:p>
            <w:r/>
            <w:r>
              <w:rPr>
                <w:rFonts w:ascii="Calibri" w:hAnsi="Calibri"/>
                <w:sz w:val="19"/>
              </w:rPr>
              <w:t>Move fast on PL targets; build Series A 9-month timeline; differentiate on AI-overlay speed (90-day vs 24-month Visma platform)</w:t>
            </w:r>
          </w:p>
        </w:tc>
      </w:tr>
      <w:tr>
        <w:tc>
          <w:tcPr>
            <w:tcW w:type="dxa" w:w="2268"/>
            <w:shd w:val="clear" w:color="auto" w:fill="F4F6F9"/>
            <w:vAlign w:val="center"/>
          </w:tcPr>
          <w:p>
            <w:r/>
            <w:r>
              <w:rPr>
                <w:rFonts w:ascii="Calibri" w:hAnsi="Calibri"/>
                <w:sz w:val="19"/>
              </w:rPr>
              <w:t>KSeF launch delayed or scope changed</w:t>
            </w:r>
          </w:p>
        </w:tc>
        <w:tc>
          <w:tcPr>
            <w:tcW w:type="dxa" w:w="1134"/>
            <w:shd w:val="clear" w:color="auto" w:fill="F4F6F9"/>
            <w:vAlign w:val="center"/>
          </w:tcPr>
          <w:p>
            <w:r/>
            <w:r>
              <w:rPr>
                <w:rFonts w:ascii="Calibri" w:hAnsi="Calibri"/>
                <w:sz w:val="19"/>
              </w:rPr>
              <w:t>Medium</w:t>
            </w:r>
          </w:p>
        </w:tc>
        <w:tc>
          <w:tcPr>
            <w:tcW w:type="dxa" w:w="1134"/>
            <w:shd w:val="clear" w:color="auto" w:fill="F4F6F9"/>
            <w:vAlign w:val="center"/>
          </w:tcPr>
          <w:p>
            <w:r/>
            <w:r>
              <w:rPr>
                <w:rFonts w:ascii="Calibri" w:hAnsi="Calibri"/>
                <w:sz w:val="19"/>
              </w:rPr>
              <w:t>Medium</w:t>
            </w:r>
          </w:p>
        </w:tc>
        <w:tc>
          <w:tcPr>
            <w:tcW w:type="dxa" w:w="3969"/>
            <w:shd w:val="clear" w:color="auto" w:fill="F4F6F9"/>
            <w:vAlign w:val="center"/>
          </w:tcPr>
          <w:p>
            <w:r/>
            <w:r>
              <w:rPr>
                <w:rFonts w:ascii="Calibri" w:hAnsi="Calibri"/>
                <w:sz w:val="19"/>
              </w:rPr>
              <w:t>Sourcing thesis holds regardless (retirement pressure); but valuation compression risk if regulatory urgency drops</w:t>
            </w:r>
          </w:p>
        </w:tc>
      </w:tr>
      <w:tr>
        <w:tc>
          <w:tcPr>
            <w:tcW w:type="dxa" w:w="2268"/>
            <w:vAlign w:val="center"/>
          </w:tcPr>
          <w:p>
            <w:r/>
            <w:r>
              <w:rPr>
                <w:rFonts w:ascii="Calibri" w:hAnsi="Calibri"/>
                <w:sz w:val="19"/>
              </w:rPr>
              <w:t>AI model accuracy &lt; 70% on Polish invoices</w:t>
            </w:r>
          </w:p>
        </w:tc>
        <w:tc>
          <w:tcPr>
            <w:tcW w:type="dxa" w:w="1134"/>
            <w:vAlign w:val="center"/>
          </w:tcPr>
          <w:p>
            <w:r/>
            <w:r>
              <w:rPr>
                <w:rFonts w:ascii="Calibri" w:hAnsi="Calibri"/>
                <w:sz w:val="19"/>
              </w:rPr>
              <w:t>Low–Medium</w:t>
            </w:r>
          </w:p>
        </w:tc>
        <w:tc>
          <w:tcPr>
            <w:tcW w:type="dxa" w:w="1134"/>
            <w:vAlign w:val="center"/>
          </w:tcPr>
          <w:p>
            <w:r/>
            <w:r>
              <w:rPr>
                <w:rFonts w:ascii="Calibri" w:hAnsi="Calibri"/>
                <w:sz w:val="19"/>
              </w:rPr>
              <w:t>Medium</w:t>
            </w:r>
          </w:p>
        </w:tc>
        <w:tc>
          <w:tcPr>
            <w:tcW w:type="dxa" w:w="3969"/>
            <w:vAlign w:val="center"/>
          </w:tcPr>
          <w:p>
            <w:r/>
            <w:r>
              <w:rPr>
                <w:rFonts w:ascii="Calibri" w:hAnsi="Calibri"/>
                <w:sz w:val="19"/>
              </w:rPr>
              <w:t>Pre-build POC in D45; fall back to human-in-the-loop with 50% automation; renegotiate seller earnouts</w:t>
            </w:r>
          </w:p>
        </w:tc>
      </w:tr>
      <w:tr>
        <w:tc>
          <w:tcPr>
            <w:tcW w:type="dxa" w:w="2268"/>
            <w:shd w:val="clear" w:color="auto" w:fill="F4F6F9"/>
            <w:vAlign w:val="center"/>
          </w:tcPr>
          <w:p>
            <w:r/>
            <w:r>
              <w:rPr>
                <w:rFonts w:ascii="Calibri" w:hAnsi="Calibri"/>
                <w:sz w:val="19"/>
              </w:rPr>
              <w:t>Talent — fail to hire AI lead</w:t>
            </w:r>
          </w:p>
        </w:tc>
        <w:tc>
          <w:tcPr>
            <w:tcW w:type="dxa" w:w="1134"/>
            <w:shd w:val="clear" w:color="auto" w:fill="F4F6F9"/>
            <w:vAlign w:val="center"/>
          </w:tcPr>
          <w:p>
            <w:r/>
            <w:r>
              <w:rPr>
                <w:rFonts w:ascii="Calibri" w:hAnsi="Calibri"/>
                <w:sz w:val="19"/>
              </w:rPr>
              <w:t>Medium</w:t>
            </w:r>
          </w:p>
        </w:tc>
        <w:tc>
          <w:tcPr>
            <w:tcW w:type="dxa" w:w="1134"/>
            <w:shd w:val="clear" w:color="auto" w:fill="F4F6F9"/>
            <w:vAlign w:val="center"/>
          </w:tcPr>
          <w:p>
            <w:r/>
            <w:r>
              <w:rPr>
                <w:rFonts w:ascii="Calibri" w:hAnsi="Calibri"/>
                <w:sz w:val="19"/>
              </w:rPr>
              <w:t>High</w:t>
            </w:r>
          </w:p>
        </w:tc>
        <w:tc>
          <w:tcPr>
            <w:tcW w:type="dxa" w:w="3969"/>
            <w:shd w:val="clear" w:color="auto" w:fill="F4F6F9"/>
            <w:vAlign w:val="center"/>
          </w:tcPr>
          <w:p>
            <w:r/>
            <w:r>
              <w:rPr>
                <w:rFonts w:ascii="Calibri" w:hAnsi="Calibri"/>
                <w:sz w:val="19"/>
              </w:rPr>
              <w:t>Use fractional advisor first (3–6 months), full-time hire by month 5; alternative: partner with a Polish AI consultancy</w:t>
            </w:r>
          </w:p>
        </w:tc>
      </w:tr>
      <w:tr>
        <w:tc>
          <w:tcPr>
            <w:tcW w:type="dxa" w:w="2268"/>
            <w:vAlign w:val="center"/>
          </w:tcPr>
          <w:p>
            <w:r/>
            <w:r>
              <w:rPr>
                <w:rFonts w:ascii="Calibri" w:hAnsi="Calibri"/>
                <w:sz w:val="19"/>
              </w:rPr>
              <w:t>Seller earnout disputes</w:t>
            </w:r>
          </w:p>
        </w:tc>
        <w:tc>
          <w:tcPr>
            <w:tcW w:type="dxa" w:w="1134"/>
            <w:vAlign w:val="center"/>
          </w:tcPr>
          <w:p>
            <w:r/>
            <w:r>
              <w:rPr>
                <w:rFonts w:ascii="Calibri" w:hAnsi="Calibri"/>
                <w:sz w:val="19"/>
              </w:rPr>
              <w:t>Medium</w:t>
            </w:r>
          </w:p>
        </w:tc>
        <w:tc>
          <w:tcPr>
            <w:tcW w:type="dxa" w:w="1134"/>
            <w:vAlign w:val="center"/>
          </w:tcPr>
          <w:p>
            <w:r/>
            <w:r>
              <w:rPr>
                <w:rFonts w:ascii="Calibri" w:hAnsi="Calibri"/>
                <w:sz w:val="19"/>
              </w:rPr>
              <w:t>Low</w:t>
            </w:r>
          </w:p>
        </w:tc>
        <w:tc>
          <w:tcPr>
            <w:tcW w:type="dxa" w:w="3969"/>
            <w:vAlign w:val="center"/>
          </w:tcPr>
          <w:p>
            <w:r/>
            <w:r>
              <w:rPr>
                <w:rFonts w:ascii="Calibri" w:hAnsi="Calibri"/>
                <w:sz w:val="19"/>
              </w:rPr>
              <w:t>Tight revenue-retention definition + escrow; insurance-backed reps; pre-agreed dispute mechanism</w:t>
            </w:r>
          </w:p>
        </w:tc>
      </w:tr>
      <w:tr>
        <w:tc>
          <w:tcPr>
            <w:tcW w:type="dxa" w:w="2268"/>
            <w:shd w:val="clear" w:color="auto" w:fill="F4F6F9"/>
            <w:vAlign w:val="center"/>
          </w:tcPr>
          <w:p>
            <w:r/>
            <w:r>
              <w:rPr>
                <w:rFonts w:ascii="Calibri" w:hAnsi="Calibri"/>
                <w:sz w:val="19"/>
              </w:rPr>
              <w:t>Currency (BYN/PLN/EUR/USD)</w:t>
            </w:r>
          </w:p>
        </w:tc>
        <w:tc>
          <w:tcPr>
            <w:tcW w:type="dxa" w:w="1134"/>
            <w:shd w:val="clear" w:color="auto" w:fill="F4F6F9"/>
            <w:vAlign w:val="center"/>
          </w:tcPr>
          <w:p>
            <w:r/>
            <w:r>
              <w:rPr>
                <w:rFonts w:ascii="Calibri" w:hAnsi="Calibri"/>
                <w:sz w:val="19"/>
              </w:rPr>
              <w:t>Medium</w:t>
            </w:r>
          </w:p>
        </w:tc>
        <w:tc>
          <w:tcPr>
            <w:tcW w:type="dxa" w:w="1134"/>
            <w:shd w:val="clear" w:color="auto" w:fill="F4F6F9"/>
            <w:vAlign w:val="center"/>
          </w:tcPr>
          <w:p>
            <w:r/>
            <w:r>
              <w:rPr>
                <w:rFonts w:ascii="Calibri" w:hAnsi="Calibri"/>
                <w:sz w:val="19"/>
              </w:rPr>
              <w:t>Low–Medium</w:t>
            </w:r>
          </w:p>
        </w:tc>
        <w:tc>
          <w:tcPr>
            <w:tcW w:type="dxa" w:w="3969"/>
            <w:shd w:val="clear" w:color="auto" w:fill="F4F6F9"/>
            <w:vAlign w:val="center"/>
          </w:tcPr>
          <w:p>
            <w:r/>
            <w:r>
              <w:rPr>
                <w:rFonts w:ascii="Calibri" w:hAnsi="Calibri"/>
                <w:sz w:val="19"/>
              </w:rPr>
              <w:t>EUR-denominated debt + EUR holdco; natural hedge from PL/IT cashflows; 25% PLN exposure hedged via forwards</w:t>
            </w:r>
          </w:p>
        </w:tc>
      </w:tr>
      <w:tr>
        <w:tc>
          <w:tcPr>
            <w:tcW w:type="dxa" w:w="2268"/>
            <w:vAlign w:val="center"/>
          </w:tcPr>
          <w:p>
            <w:r/>
            <w:r>
              <w:rPr>
                <w:rFonts w:ascii="Calibri" w:hAnsi="Calibri"/>
                <w:sz w:val="19"/>
              </w:rPr>
              <w:t>Cyprus reputational risk (post-CySec / golden passport)</w:t>
            </w:r>
          </w:p>
        </w:tc>
        <w:tc>
          <w:tcPr>
            <w:tcW w:type="dxa" w:w="1134"/>
            <w:vAlign w:val="center"/>
          </w:tcPr>
          <w:p>
            <w:r/>
            <w:r>
              <w:rPr>
                <w:rFonts w:ascii="Calibri" w:hAnsi="Calibri"/>
                <w:sz w:val="19"/>
              </w:rPr>
              <w:t>Low</w:t>
            </w:r>
          </w:p>
        </w:tc>
        <w:tc>
          <w:tcPr>
            <w:tcW w:type="dxa" w:w="1134"/>
            <w:vAlign w:val="center"/>
          </w:tcPr>
          <w:p>
            <w:r/>
            <w:r>
              <w:rPr>
                <w:rFonts w:ascii="Calibri" w:hAnsi="Calibri"/>
                <w:sz w:val="19"/>
              </w:rPr>
              <w:t>Medium</w:t>
            </w:r>
          </w:p>
        </w:tc>
        <w:tc>
          <w:tcPr>
            <w:tcW w:type="dxa" w:w="3969"/>
            <w:vAlign w:val="center"/>
          </w:tcPr>
          <w:p>
            <w:r/>
            <w:r>
              <w:rPr>
                <w:rFonts w:ascii="Calibri" w:hAnsi="Calibri"/>
                <w:sz w:val="19"/>
              </w:rPr>
              <w:t>Clean structure with EU-passported counsel; avoid Russia-linked LP capital; clear UBO disclosure</w:t>
            </w:r>
          </w:p>
        </w:tc>
      </w:tr>
      <w:tr>
        <w:tc>
          <w:tcPr>
            <w:tcW w:type="dxa" w:w="2268"/>
            <w:shd w:val="clear" w:color="auto" w:fill="F4F6F9"/>
            <w:vAlign w:val="center"/>
          </w:tcPr>
          <w:p>
            <w:r/>
            <w:r>
              <w:rPr>
                <w:rFonts w:ascii="Calibri" w:hAnsi="Calibri"/>
                <w:sz w:val="19"/>
              </w:rPr>
              <w:t>Founder concentration risk</w:t>
            </w:r>
          </w:p>
        </w:tc>
        <w:tc>
          <w:tcPr>
            <w:tcW w:type="dxa" w:w="1134"/>
            <w:shd w:val="clear" w:color="auto" w:fill="F4F6F9"/>
            <w:vAlign w:val="center"/>
          </w:tcPr>
          <w:p>
            <w:r/>
            <w:r>
              <w:rPr>
                <w:rFonts w:ascii="Calibri" w:hAnsi="Calibri"/>
                <w:sz w:val="19"/>
              </w:rPr>
              <w:t>High at Day 1</w:t>
            </w:r>
          </w:p>
        </w:tc>
        <w:tc>
          <w:tcPr>
            <w:tcW w:type="dxa" w:w="1134"/>
            <w:shd w:val="clear" w:color="auto" w:fill="F4F6F9"/>
            <w:vAlign w:val="center"/>
          </w:tcPr>
          <w:p>
            <w:r/>
            <w:r>
              <w:rPr>
                <w:rFonts w:ascii="Calibri" w:hAnsi="Calibri"/>
                <w:sz w:val="19"/>
              </w:rPr>
              <w:t>High</w:t>
            </w:r>
          </w:p>
        </w:tc>
        <w:tc>
          <w:tcPr>
            <w:tcW w:type="dxa" w:w="3969"/>
            <w:shd w:val="clear" w:color="auto" w:fill="F4F6F9"/>
            <w:vAlign w:val="center"/>
          </w:tcPr>
          <w:p>
            <w:r/>
            <w:r>
              <w:rPr>
                <w:rFonts w:ascii="Calibri" w:hAnsi="Calibri"/>
                <w:sz w:val="19"/>
              </w:rPr>
              <w:t>Co-founder + advisory board signed by month 3; deputy hires by month 6</w:t>
            </w:r>
          </w:p>
        </w:tc>
      </w:tr>
      <w:tr>
        <w:tc>
          <w:tcPr>
            <w:tcW w:type="dxa" w:w="2268"/>
            <w:vAlign w:val="center"/>
          </w:tcPr>
          <w:p>
            <w:r/>
            <w:r>
              <w:rPr>
                <w:rFonts w:ascii="Calibri" w:hAnsi="Calibri"/>
                <w:sz w:val="19"/>
              </w:rPr>
              <w:t>Regulatory — local accounting license requirements</w:t>
            </w:r>
          </w:p>
        </w:tc>
        <w:tc>
          <w:tcPr>
            <w:tcW w:type="dxa" w:w="1134"/>
            <w:vAlign w:val="center"/>
          </w:tcPr>
          <w:p>
            <w:r/>
            <w:r>
              <w:rPr>
                <w:rFonts w:ascii="Calibri" w:hAnsi="Calibri"/>
                <w:sz w:val="19"/>
              </w:rPr>
              <w:t>Medium</w:t>
            </w:r>
          </w:p>
        </w:tc>
        <w:tc>
          <w:tcPr>
            <w:tcW w:type="dxa" w:w="1134"/>
            <w:vAlign w:val="center"/>
          </w:tcPr>
          <w:p>
            <w:r/>
            <w:r>
              <w:rPr>
                <w:rFonts w:ascii="Calibri" w:hAnsi="Calibri"/>
                <w:sz w:val="19"/>
              </w:rPr>
              <w:t>Medium</w:t>
            </w:r>
          </w:p>
        </w:tc>
        <w:tc>
          <w:tcPr>
            <w:tcW w:type="dxa" w:w="3969"/>
            <w:vAlign w:val="center"/>
          </w:tcPr>
          <w:p>
            <w:r/>
            <w:r>
              <w:rPr>
                <w:rFonts w:ascii="Calibri" w:hAnsi="Calibri"/>
                <w:sz w:val="19"/>
              </w:rPr>
              <w:t>Always retain seller as licensed-accountant-of-record for 24 months; partner with local professional bodies (KIBR in PL, ODCEC in IT, ICPAC in CY)</w:t>
            </w:r>
          </w:p>
        </w:tc>
      </w:tr>
      <w:tr>
        <w:tc>
          <w:tcPr>
            <w:tcW w:type="dxa" w:w="2268"/>
            <w:shd w:val="clear" w:color="auto" w:fill="F4F6F9"/>
            <w:vAlign w:val="center"/>
          </w:tcPr>
          <w:p>
            <w:r/>
            <w:r>
              <w:rPr>
                <w:rFonts w:ascii="Calibri" w:hAnsi="Calibri"/>
                <w:sz w:val="19"/>
              </w:rPr>
              <w:t>Macro — EU recession compresses SMB book</w:t>
            </w:r>
          </w:p>
        </w:tc>
        <w:tc>
          <w:tcPr>
            <w:tcW w:type="dxa" w:w="1134"/>
            <w:shd w:val="clear" w:color="auto" w:fill="F4F6F9"/>
            <w:vAlign w:val="center"/>
          </w:tcPr>
          <w:p>
            <w:r/>
            <w:r>
              <w:rPr>
                <w:rFonts w:ascii="Calibri" w:hAnsi="Calibri"/>
                <w:sz w:val="19"/>
              </w:rPr>
              <w:t>Medium</w:t>
            </w:r>
          </w:p>
        </w:tc>
        <w:tc>
          <w:tcPr>
            <w:tcW w:type="dxa" w:w="1134"/>
            <w:shd w:val="clear" w:color="auto" w:fill="F4F6F9"/>
            <w:vAlign w:val="center"/>
          </w:tcPr>
          <w:p>
            <w:r/>
            <w:r>
              <w:rPr>
                <w:rFonts w:ascii="Calibri" w:hAnsi="Calibri"/>
                <w:sz w:val="19"/>
              </w:rPr>
              <w:t>Medium</w:t>
            </w:r>
          </w:p>
        </w:tc>
        <w:tc>
          <w:tcPr>
            <w:tcW w:type="dxa" w:w="3969"/>
            <w:shd w:val="clear" w:color="auto" w:fill="F4F6F9"/>
            <w:vAlign w:val="center"/>
          </w:tcPr>
          <w:p>
            <w:r/>
            <w:r>
              <w:rPr>
                <w:rFonts w:ascii="Calibri" w:hAnsi="Calibri"/>
                <w:sz w:val="19"/>
              </w:rPr>
              <w:t>SMB accounting is countercyclical (compliance is non-discretionary); 3–5% revenue impact even in deep recession</w:t>
            </w:r>
          </w:p>
        </w:tc>
      </w:tr>
      <w:tr>
        <w:tc>
          <w:tcPr>
            <w:tcW w:type="dxa" w:w="2268"/>
            <w:vAlign w:val="center"/>
          </w:tcPr>
          <w:p>
            <w:r/>
            <w:r>
              <w:rPr>
                <w:rFonts w:ascii="Calibri" w:hAnsi="Calibri"/>
                <w:sz w:val="19"/>
              </w:rPr>
              <w:t>Integration overruns</w:t>
            </w:r>
          </w:p>
        </w:tc>
        <w:tc>
          <w:tcPr>
            <w:tcW w:type="dxa" w:w="1134"/>
            <w:vAlign w:val="center"/>
          </w:tcPr>
          <w:p>
            <w:r/>
            <w:r>
              <w:rPr>
                <w:rFonts w:ascii="Calibri" w:hAnsi="Calibri"/>
                <w:sz w:val="19"/>
              </w:rPr>
              <w:t>Medium–High</w:t>
            </w:r>
          </w:p>
        </w:tc>
        <w:tc>
          <w:tcPr>
            <w:tcW w:type="dxa" w:w="1134"/>
            <w:vAlign w:val="center"/>
          </w:tcPr>
          <w:p>
            <w:r/>
            <w:r>
              <w:rPr>
                <w:rFonts w:ascii="Calibri" w:hAnsi="Calibri"/>
                <w:sz w:val="19"/>
              </w:rPr>
              <w:t>Medium</w:t>
            </w:r>
          </w:p>
        </w:tc>
        <w:tc>
          <w:tcPr>
            <w:tcW w:type="dxa" w:w="3969"/>
            <w:vAlign w:val="center"/>
          </w:tcPr>
          <w:p>
            <w:r/>
            <w:r>
              <w:rPr>
                <w:rFonts w:ascii="Calibri" w:hAnsi="Calibri"/>
                <w:sz w:val="19"/>
              </w:rPr>
              <w:t>Strict Day-30/90/180 playbook; do not exceed 2 concurrent integrations per Country MD</w:t>
            </w:r>
          </w:p>
        </w:tc>
      </w:tr>
      <w:tr>
        <w:tc>
          <w:tcPr>
            <w:tcW w:type="dxa" w:w="2268"/>
            <w:shd w:val="clear" w:color="auto" w:fill="F4F6F9"/>
            <w:vAlign w:val="center"/>
          </w:tcPr>
          <w:p>
            <w:r/>
            <w:r>
              <w:rPr>
                <w:rFonts w:ascii="Calibri" w:hAnsi="Calibri"/>
                <w:sz w:val="19"/>
              </w:rPr>
              <w:t>Data breach / GDPR fine</w:t>
            </w:r>
          </w:p>
        </w:tc>
        <w:tc>
          <w:tcPr>
            <w:tcW w:type="dxa" w:w="1134"/>
            <w:shd w:val="clear" w:color="auto" w:fill="F4F6F9"/>
            <w:vAlign w:val="center"/>
          </w:tcPr>
          <w:p>
            <w:r/>
            <w:r>
              <w:rPr>
                <w:rFonts w:ascii="Calibri" w:hAnsi="Calibri"/>
                <w:sz w:val="19"/>
              </w:rPr>
              <w:t>Low–Medium</w:t>
            </w:r>
          </w:p>
        </w:tc>
        <w:tc>
          <w:tcPr>
            <w:tcW w:type="dxa" w:w="1134"/>
            <w:shd w:val="clear" w:color="auto" w:fill="F4F6F9"/>
            <w:vAlign w:val="center"/>
          </w:tcPr>
          <w:p>
            <w:r/>
            <w:r>
              <w:rPr>
                <w:rFonts w:ascii="Calibri" w:hAnsi="Calibri"/>
                <w:sz w:val="19"/>
              </w:rPr>
              <w:t>High</w:t>
            </w:r>
          </w:p>
        </w:tc>
        <w:tc>
          <w:tcPr>
            <w:tcW w:type="dxa" w:w="3969"/>
            <w:shd w:val="clear" w:color="auto" w:fill="F4F6F9"/>
            <w:vAlign w:val="center"/>
          </w:tcPr>
          <w:p>
            <w:r/>
            <w:r>
              <w:rPr>
                <w:rFonts w:ascii="Calibri" w:hAnsi="Calibri"/>
                <w:sz w:val="19"/>
              </w:rPr>
              <w:t>Day-1 GDPR audit on every acquired practice; cyber insurance; ISO 27001 by Y2</w:t>
            </w:r>
          </w:p>
        </w:tc>
      </w:tr>
    </w:tbl>
    <w:p>
      <w:r>
        <w:br w:type="page"/>
      </w:r>
    </w:p>
    <w:p>
      <w:pPr>
        <w:spacing w:before="360" w:after="120"/>
      </w:pPr>
      <w:r>
        <w:rPr>
          <w:rFonts w:ascii="Calibri" w:hAnsi="Calibri"/>
          <w:b/>
          <w:color w:val="1F3A5F"/>
          <w:sz w:val="40"/>
        </w:rPr>
        <w:t>11. Sources, Methodology, Open Questions</w:t>
      </w:r>
    </w:p>
    <w:p>
      <w:pPr>
        <w:spacing w:before="280" w:after="80"/>
      </w:pPr>
      <w:r>
        <w:rPr>
          <w:rFonts w:ascii="Calibri" w:hAnsi="Calibri"/>
          <w:b/>
          <w:color w:val="1F3A5F"/>
          <w:sz w:val="28"/>
        </w:rPr>
        <w:t>11.1  Methodology notes</w:t>
      </w:r>
    </w:p>
    <w:p>
      <w:pPr>
        <w:pStyle w:val="ListBullet"/>
        <w:spacing w:after="40" w:line="288" w:lineRule="auto"/>
      </w:pPr>
      <w:r>
        <w:rPr>
          <w:rFonts w:ascii="Calibri" w:hAnsi="Calibri"/>
          <w:sz w:val="21"/>
        </w:rPr>
        <w:t>Sumer Group (sumer.co.uk) data points sourced from: sumer.co.uk official site, The Finance Story (Sept 2025), Accountancy Daily, Accountancy Age, Insider Media, Rainmakers (TheBusinessDesk). Cross-referenced with Penta Capital portfolio page.</w:t>
      </w:r>
    </w:p>
    <w:p>
      <w:pPr>
        <w:pStyle w:val="ListBullet"/>
        <w:spacing w:after="40" w:line="288" w:lineRule="auto"/>
      </w:pPr>
      <w:r>
        <w:rPr>
          <w:rFonts w:ascii="Calibri" w:hAnsi="Calibri"/>
          <w:sz w:val="21"/>
        </w:rPr>
        <w:t>Visma data points sourced from public Hg dossier, Visma annual reports 2020–2024, and press releases on Holded and Fiscozen acquisitions.</w:t>
      </w:r>
    </w:p>
    <w:p>
      <w:pPr>
        <w:pStyle w:val="ListBullet"/>
        <w:spacing w:after="40" w:line="288" w:lineRule="auto"/>
      </w:pPr>
      <w:r>
        <w:rPr>
          <w:rFonts w:ascii="Calibri" w:hAnsi="Calibri"/>
          <w:sz w:val="21"/>
        </w:rPr>
        <w:t>Polish market sizing from CEIDG / KRS counts of sub-€2M revenue practices (sector codes 69.20.Z + 69.10.Z); Italian from ISTAT and ODCEC member counts; Cypriot from ICPAC public roster.</w:t>
      </w:r>
    </w:p>
    <w:p>
      <w:pPr>
        <w:pStyle w:val="ListBullet"/>
        <w:spacing w:after="40" w:line="288" w:lineRule="auto"/>
      </w:pPr>
      <w:r>
        <w:rPr>
          <w:rFonts w:ascii="Calibri" w:hAnsi="Calibri"/>
          <w:sz w:val="21"/>
        </w:rPr>
        <w:t>Multiple ranges (3.5–4.5× for sub-€5M practices, 5–6× for Italy, 8–12× for Visma scale) sourced from public deal databases (Mergermarket, Pitchbook) plus founder's own M&amp;A advisory network.</w:t>
      </w:r>
    </w:p>
    <w:p>
      <w:pPr>
        <w:pStyle w:val="ListBullet"/>
        <w:spacing w:after="40" w:line="288" w:lineRule="auto"/>
      </w:pPr>
      <w:r>
        <w:rPr>
          <w:rFonts w:ascii="Calibri" w:hAnsi="Calibri"/>
          <w:sz w:val="21"/>
        </w:rPr>
        <w:t>EBITDA-margin uplifts (19% → 27–30%) based on three reference cases: Holded post-Visma, BTerrein (NL bookkeeping aggregator) 2023, Fiscozen pre-acquisition.</w:t>
      </w:r>
    </w:p>
    <w:p>
      <w:pPr>
        <w:spacing w:before="280" w:after="80"/>
      </w:pPr>
      <w:r>
        <w:rPr>
          <w:rFonts w:ascii="Calibri" w:hAnsi="Calibri"/>
          <w:b/>
          <w:color w:val="1F3A5F"/>
          <w:sz w:val="28"/>
        </w:rPr>
        <w:t>11.2  Sources cited</w:t>
      </w:r>
    </w:p>
    <w:p>
      <w:pPr>
        <w:spacing w:after="80" w:line="300" w:lineRule="auto"/>
      </w:pPr>
      <w:r>
        <w:rPr>
          <w:rFonts w:ascii="Calibri" w:hAnsi="Calibri"/>
          <w:b w:val="0"/>
          <w:i w:val="0"/>
          <w:color w:val="101010"/>
          <w:sz w:val="21"/>
        </w:rPr>
        <w:t>Primary public sources:</w:t>
      </w:r>
    </w:p>
    <w:p>
      <w:pPr>
        <w:pStyle w:val="ListBullet"/>
        <w:spacing w:after="40" w:line="288" w:lineRule="auto"/>
      </w:pPr>
      <w:r>
        <w:rPr>
          <w:rFonts w:ascii="Calibri" w:hAnsi="Calibri"/>
          <w:sz w:val="21"/>
        </w:rPr>
        <w:t>Sumer Group — sumer.co.uk (corporate site, About, Press releases including "Sumer Hits £100m Revenue, Just 12 Months After Launch" Feb 2024)</w:t>
      </w:r>
    </w:p>
    <w:p>
      <w:pPr>
        <w:pStyle w:val="ListBullet"/>
        <w:spacing w:after="40" w:line="288" w:lineRule="auto"/>
      </w:pPr>
      <w:r>
        <w:rPr>
          <w:rFonts w:ascii="Calibri" w:hAnsi="Calibri"/>
          <w:sz w:val="21"/>
        </w:rPr>
        <w:t>Accountancy Age — "Ex-KPMG COO eyes £1bn valuation for his own accountancy firm" (2 Sept 2025)</w:t>
      </w:r>
    </w:p>
    <w:p>
      <w:pPr>
        <w:pStyle w:val="ListBullet"/>
        <w:spacing w:after="40" w:line="288" w:lineRule="auto"/>
      </w:pPr>
      <w:r>
        <w:rPr>
          <w:rFonts w:ascii="Calibri" w:hAnsi="Calibri"/>
          <w:sz w:val="21"/>
        </w:rPr>
        <w:t>The Finance Story — Warren Mead profile (Sept 2025)</w:t>
      </w:r>
    </w:p>
    <w:p>
      <w:pPr>
        <w:pStyle w:val="ListBullet"/>
        <w:spacing w:after="40" w:line="288" w:lineRule="auto"/>
      </w:pPr>
      <w:r>
        <w:rPr>
          <w:rFonts w:ascii="Calibri" w:hAnsi="Calibri"/>
          <w:sz w:val="21"/>
        </w:rPr>
        <w:t>Accountancy Daily — "Sumer plans more acquisitions for £100m accounting group"</w:t>
      </w:r>
    </w:p>
    <w:p>
      <w:pPr>
        <w:pStyle w:val="ListBullet"/>
        <w:spacing w:after="40" w:line="288" w:lineRule="auto"/>
      </w:pPr>
      <w:r>
        <w:rPr>
          <w:rFonts w:ascii="Calibri" w:hAnsi="Calibri"/>
          <w:sz w:val="21"/>
        </w:rPr>
        <w:t>Penta Capital — portfolio page</w:t>
      </w:r>
    </w:p>
    <w:p>
      <w:pPr>
        <w:pStyle w:val="ListBullet"/>
        <w:spacing w:after="40" w:line="288" w:lineRule="auto"/>
      </w:pPr>
      <w:r>
        <w:rPr>
          <w:rFonts w:ascii="Calibri" w:hAnsi="Calibri"/>
          <w:sz w:val="21"/>
        </w:rPr>
        <w:t>Visma AS Annual Reports 2020–2024 (visma.com/about-us/investor-relations)</w:t>
      </w:r>
    </w:p>
    <w:p>
      <w:pPr>
        <w:pStyle w:val="ListBullet"/>
        <w:spacing w:after="40" w:line="288" w:lineRule="auto"/>
      </w:pPr>
      <w:r>
        <w:rPr>
          <w:rFonts w:ascii="Calibri" w:hAnsi="Calibri"/>
          <w:sz w:val="21"/>
        </w:rPr>
        <w:t>Hg Capital — "Visma case study" (hgcapital.com/portfolio)</w:t>
      </w:r>
    </w:p>
    <w:p>
      <w:pPr>
        <w:pStyle w:val="ListBullet"/>
        <w:spacing w:after="40" w:line="288" w:lineRule="auto"/>
      </w:pPr>
      <w:r>
        <w:rPr>
          <w:rFonts w:ascii="Calibri" w:hAnsi="Calibri"/>
          <w:sz w:val="21"/>
        </w:rPr>
        <w:t>Polish Ministry of Finance — KSeF implementation timeline</w:t>
      </w:r>
    </w:p>
    <w:p>
      <w:pPr>
        <w:pStyle w:val="ListBullet"/>
        <w:spacing w:after="40" w:line="288" w:lineRule="auto"/>
      </w:pPr>
      <w:r>
        <w:rPr>
          <w:rFonts w:ascii="Calibri" w:hAnsi="Calibri"/>
          <w:sz w:val="21"/>
        </w:rPr>
        <w:t>Agenzia delle Entrate — Sistema di Interscambio (SdI) documentation</w:t>
      </w:r>
    </w:p>
    <w:p>
      <w:pPr>
        <w:pStyle w:val="ListBullet"/>
        <w:spacing w:after="40" w:line="288" w:lineRule="auto"/>
      </w:pPr>
      <w:r>
        <w:rPr>
          <w:rFonts w:ascii="Calibri" w:hAnsi="Calibri"/>
          <w:sz w:val="21"/>
        </w:rPr>
        <w:t>ICPAC (Cyprus) — Member roster and licensing rules</w:t>
      </w:r>
    </w:p>
    <w:p>
      <w:pPr>
        <w:pStyle w:val="ListBullet"/>
        <w:spacing w:after="40" w:line="288" w:lineRule="auto"/>
      </w:pPr>
      <w:r>
        <w:rPr>
          <w:rFonts w:ascii="Calibri" w:hAnsi="Calibri"/>
          <w:sz w:val="21"/>
        </w:rPr>
        <w:t>European Commission — ViDA (VAT in the Digital Age) proposal</w:t>
      </w:r>
    </w:p>
    <w:p>
      <w:pPr>
        <w:spacing w:after="80" w:line="300" w:lineRule="auto"/>
      </w:pPr>
      <w:r>
        <w:rPr>
          <w:rFonts w:ascii="Calibri" w:hAnsi="Calibri"/>
          <w:b w:val="0"/>
          <w:i w:val="0"/>
          <w:color w:val="101010"/>
          <w:sz w:val="21"/>
        </w:rPr>
        <w:t>Industry / market:</w:t>
      </w:r>
    </w:p>
    <w:p>
      <w:pPr>
        <w:pStyle w:val="ListBullet"/>
        <w:spacing w:after="40" w:line="288" w:lineRule="auto"/>
      </w:pPr>
      <w:r>
        <w:rPr>
          <w:rFonts w:ascii="Calibri" w:hAnsi="Calibri"/>
          <w:sz w:val="21"/>
        </w:rPr>
        <w:t>Mergermarket — SMB software roll-up deal multiples 2019–2025</w:t>
      </w:r>
    </w:p>
    <w:p>
      <w:pPr>
        <w:pStyle w:val="ListBullet"/>
        <w:spacing w:after="40" w:line="288" w:lineRule="auto"/>
      </w:pPr>
      <w:r>
        <w:rPr>
          <w:rFonts w:ascii="Calibri" w:hAnsi="Calibri"/>
          <w:sz w:val="21"/>
        </w:rPr>
        <w:t>Pitchbook — accounting-tech category exits</w:t>
      </w:r>
    </w:p>
    <w:p>
      <w:pPr>
        <w:pStyle w:val="ListBullet"/>
        <w:spacing w:after="40" w:line="288" w:lineRule="auto"/>
      </w:pPr>
      <w:r>
        <w:rPr>
          <w:rFonts w:ascii="Calibri" w:hAnsi="Calibri"/>
          <w:sz w:val="21"/>
        </w:rPr>
        <w:t>Brookings / OECD — SMB digital adoption surveys EU 2023–2024</w:t>
      </w:r>
    </w:p>
    <w:p>
      <w:pPr>
        <w:spacing w:before="280" w:after="80"/>
      </w:pPr>
      <w:r>
        <w:rPr>
          <w:rFonts w:ascii="Calibri" w:hAnsi="Calibri"/>
          <w:b/>
          <w:color w:val="1F3A5F"/>
          <w:sz w:val="28"/>
        </w:rPr>
        <w:t>11.3  Open questions for founder review</w:t>
      </w:r>
    </w:p>
    <w:p>
      <w:pPr>
        <w:pStyle w:val="ListBullet"/>
        <w:spacing w:after="40" w:line="288" w:lineRule="auto"/>
      </w:pPr>
      <w:r>
        <w:rPr>
          <w:rFonts w:ascii="Calibri" w:hAnsi="Calibri"/>
          <w:sz w:val="21"/>
        </w:rPr>
        <w:t>Cyprus vs. Netherlands holdco — final choice depends on personal tax position and exit jurisdiction expectation. NL has better CIT-treaty network; CY has IP-box and lower effective rate. Decision needed by D15.</w:t>
      </w:r>
    </w:p>
    <w:p>
      <w:pPr>
        <w:pStyle w:val="ListBullet"/>
        <w:spacing w:after="40" w:line="288" w:lineRule="auto"/>
      </w:pPr>
      <w:r>
        <w:rPr>
          <w:rFonts w:ascii="Calibri" w:hAnsi="Calibri"/>
          <w:sz w:val="21"/>
        </w:rPr>
        <w:t>AI build-or-buy on the classification model — POC results in D45 will drive this. If we build, headcount +1 in Year 2.</w:t>
      </w:r>
    </w:p>
    <w:p>
      <w:pPr>
        <w:pStyle w:val="ListBullet"/>
        <w:spacing w:after="40" w:line="288" w:lineRule="auto"/>
      </w:pPr>
      <w:r>
        <w:rPr>
          <w:rFonts w:ascii="Calibri" w:hAnsi="Calibri"/>
          <w:sz w:val="21"/>
        </w:rPr>
        <w:t>Italy timing — accelerate to month 9 if Visma's Fiscozen integration goes badly and Italian sellers become receptive, or hold to month 16 default.</w:t>
      </w:r>
    </w:p>
    <w:p>
      <w:pPr>
        <w:pStyle w:val="ListBullet"/>
        <w:spacing w:after="40" w:line="288" w:lineRule="auto"/>
      </w:pPr>
      <w:r>
        <w:rPr>
          <w:rFonts w:ascii="Calibri" w:hAnsi="Calibri"/>
          <w:sz w:val="21"/>
        </w:rPr>
        <w:t>Series A lead — Hg (Visma's own backer, conflicts) vs. mid-market PE like Mercia / Tilia vs. strategics like Wolters Kluwer Ventures. Three-way trade-off between capital, validation and optionality.</w:t>
      </w:r>
    </w:p>
    <w:p>
      <w:pPr>
        <w:pStyle w:val="ListBullet"/>
        <w:spacing w:after="40" w:line="288" w:lineRule="auto"/>
      </w:pPr>
      <w:r>
        <w:rPr>
          <w:rFonts w:ascii="Calibri" w:hAnsi="Calibri"/>
          <w:sz w:val="21"/>
        </w:rPr>
        <w:t>Series A vs. continued debt financing — at €7M raised, are we under-capitalized for 14 deals? Model assumes €8M senior debt at month 12; sensitivity to debt-availability needed.</w:t>
      </w:r>
    </w:p>
    <w:p>
      <w:pPr>
        <w:pStyle w:val="ListBullet"/>
        <w:spacing w:after="40" w:line="288" w:lineRule="auto"/>
      </w:pPr>
      <w:r>
        <w:rPr>
          <w:rFonts w:ascii="Calibri" w:hAnsi="Calibri"/>
          <w:sz w:val="21"/>
        </w:rPr>
        <w:t>Exit structure — full sale to Visma vs. partial recap with Hg / EQT vs. independent run to Series B/C. Decision frame in FY28.</w:t>
      </w:r>
    </w:p>
    <w:p>
      <w:r>
        <w:br/>
      </w:r>
    </w:p>
    <w:p>
      <w:pPr>
        <w:spacing w:after="80" w:line="300" w:lineRule="auto"/>
        <w:jc w:val="center"/>
      </w:pPr>
      <w:r>
        <w:rPr>
          <w:rFonts w:ascii="Calibri" w:hAnsi="Calibri"/>
          <w:b w:val="0"/>
          <w:i/>
          <w:color w:val="AAAAAA"/>
          <w:sz w:val="20"/>
        </w:rPr>
        <w:t>— End of Memo —</w:t>
      </w:r>
    </w:p>
    <w:p>
      <w:pPr>
        <w:spacing w:after="80" w:line="300" w:lineRule="auto"/>
        <w:jc w:val="center"/>
      </w:pPr>
      <w:r>
        <w:rPr>
          <w:rFonts w:ascii="Calibri" w:hAnsi="Calibri"/>
          <w:b w:val="0"/>
          <w:i/>
          <w:color w:val="AAAAAA"/>
          <w:sz w:val="18"/>
        </w:rPr>
        <w:t>Paired documents: Ledger_Rollup_Model.xlsx (financial model, 15 tabs) and Ledger_Rollup_Pitch.pptx (10-slide investor deck).</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