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3864"/>
          <w:sz w:val="44"/>
          <w:szCs w:val="44"/>
        </w:rPr>
        <w:t xml:space="preserve">Due Diligence Memorandum</w:t>
      </w:r>
    </w:p>
    <w:p>
      <w:pPr>
        <w:spacing w:after="200"/>
      </w:pPr>
      <w:r>
        <w:rPr>
          <w:rFonts w:ascii="Calibri" w:cs="Calibri" w:eastAsia="Calibri" w:hAnsi="Calibri"/>
          <w:color w:val="595959"/>
          <w:sz w:val="28"/>
          <w:szCs w:val="28"/>
        </w:rPr>
        <w:t xml:space="preserve">Subject: Siarhei Rabukhin — Managing Partner, Zubr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Subject</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Siarhei Rabukhin (Сяргей Рабухін / Сергей Рябухин)</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LinkedIn (claimed)</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https://cy.linkedin.com/in/siarhei-rabukhin-ba7b731b</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Stated role</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Managing Partner, Zubr Capital (private equity)</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Stated location</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Cyprus</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DD purpose</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M&amp;A / co-investment counterparty screen (per user)</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Jurisdictions in scope</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Cyprus, Lithuania, Poland, Belarus (+ Channel Islands, Jersey)</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Prepared</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11 May 2026</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Confidence</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Medium-High on public profile; Lower on non-indexed registry filings</w:t>
            </w:r>
          </w:p>
        </w:tc>
      </w:tr>
    </w:tbl>
    <w:p>
      <w:pPr>
        <w:pStyle w:val="Heading1"/>
        <w:spacing w:after="180" w:before="360"/>
      </w:pPr>
      <w:r>
        <w:rPr>
          <w:rFonts w:ascii="Calibri" w:cs="Calibri" w:eastAsia="Calibri" w:hAnsi="Calibri"/>
          <w:b/>
          <w:bCs/>
          <w:color w:val="1F3864"/>
          <w:sz w:val="32"/>
          <w:szCs w:val="32"/>
        </w:rPr>
        <w:t xml:space="preserve">0. Client context (read first)</w:t>
      </w:r>
    </w:p>
    <w:p>
      <w:pPr>
        <w:spacing w:after="120" w:before="0"/>
      </w:pPr>
      <w:r>
        <w:rPr>
          <w:rFonts w:ascii="Calibri" w:cs="Calibri" w:eastAsia="Calibri" w:hAnsi="Calibri"/>
          <w:sz w:val="22"/>
          <w:szCs w:val="22"/>
        </w:rPr>
        <w:t xml:space="preserve">This memorandum is prepared at the request of Viktar Dzenisevich (denwik86@gmail.com), who is himself publicly listed on Zubr Capital's team page as Investment Director and Partner, Vilnius office. The subject of this memo, Siarhei Rabukhin, is therefore not an external counterparty in the conventional DD sense — he is a co-partner / managing principal at the same firm.</w:t>
      </w:r>
    </w:p>
    <w:p>
      <w:pPr>
        <w:spacing w:after="120" w:before="0"/>
      </w:pPr>
      <w:r>
        <w:rPr>
          <w:rFonts w:ascii="Calibri" w:cs="Calibri" w:eastAsia="Calibri" w:hAnsi="Calibri"/>
          <w:sz w:val="22"/>
          <w:szCs w:val="22"/>
        </w:rPr>
        <w:t xml:space="preserve">This DD has been framed accordingly: the document concentrates on (a) sanctions and watch-list integrity, (b) multi-jurisdiction footprint mapping, and (c) information gaps that should be closed by official-registry queries before any partner-level transaction (buy-in, redemption, co-investment, succession, or third-party transaction in which the subject is a principal). Where the user's intent is a transaction WITH (rather than EVALUATION OF) the subject, this framing should be confirmed in a follow-up brief.</w:t>
      </w:r>
    </w:p>
    <w:p>
      <w:pPr>
        <w:spacing w:after="120" w:before="0"/>
      </w:pPr>
      <w:r>
        <w:rPr>
          <w:rFonts w:ascii="Calibri" w:cs="Calibri" w:eastAsia="Calibri" w:hAnsi="Calibri"/>
          <w:sz w:val="22"/>
          <w:szCs w:val="22"/>
        </w:rPr>
        <w:t xml:space="preserve">No conclusions in this memo should be treated as a substitute for a formal integrity due diligence report by an authorised provider (World-Check / Refinitiv / Sayari / LexisNexis or counsel-led). All findings here are from public-source review.</w:t>
      </w:r>
    </w:p>
    <w:p>
      <w:pPr>
        <w:pStyle w:val="Heading1"/>
        <w:spacing w:after="180" w:before="360"/>
      </w:pPr>
      <w:r>
        <w:rPr>
          <w:rFonts w:ascii="Calibri" w:cs="Calibri" w:eastAsia="Calibri" w:hAnsi="Calibri"/>
          <w:b/>
          <w:bCs/>
          <w:color w:val="1F3864"/>
          <w:sz w:val="32"/>
          <w:szCs w:val="32"/>
        </w:rPr>
        <w:t xml:space="preserve">1. Executive summary</w:t>
      </w:r>
    </w:p>
    <w:p>
      <w:pPr>
        <w:spacing w:after="120" w:before="0"/>
      </w:pPr>
      <w:r>
        <w:rPr>
          <w:rFonts w:ascii="Calibri" w:cs="Calibri" w:eastAsia="Calibri" w:hAnsi="Calibri"/>
          <w:sz w:val="22"/>
          <w:szCs w:val="22"/>
        </w:rPr>
        <w:t xml:space="preserve">Siarhei Rabukhin presents as a long-tenured Belarusian-origin private-equity professional, currently resident in Cyprus, operating as Managing Partner of Zubr Capital. The firm is the first private-equity manager out of Belarus, founded 2009-2010 by senior managers of the Atlant-M auto-distribution group, and has since relocated its operating centre to Cyprus with team presence in Lithuania and Poland.</w:t>
      </w:r>
    </w:p>
    <w:p>
      <w:pPr>
        <w:spacing w:after="120" w:before="0"/>
      </w:pPr>
      <w:r>
        <w:rPr>
          <w:rFonts w:ascii="Calibri" w:cs="Calibri" w:eastAsia="Calibri" w:hAnsi="Calibri"/>
          <w:sz w:val="22"/>
          <w:szCs w:val="22"/>
        </w:rPr>
        <w:t xml:space="preserve">Public-source screening across OFAC SDN, OFAC Belarus-specific, EU Consolidated, UK OFSI, UN Consolidated and the OpenSanctions aggregator returned no direct sanctions match for the subject. A name-collision with a Russian Federation Council senator, Sergey Nikolaevich Ryabukhin (b. 1954, Ulyanovsk Polytechnic alumnus), exists in raw OpenSanctions data — this is a different individual and should be explicitly disambiguated in any subsequent KYC file.</w:t>
      </w:r>
    </w:p>
    <w:p>
      <w:pPr>
        <w:spacing w:after="120" w:before="0"/>
      </w:pPr>
      <w:r>
        <w:rPr>
          <w:rFonts w:ascii="Calibri" w:cs="Calibri" w:eastAsia="Calibri" w:hAnsi="Calibri"/>
          <w:sz w:val="22"/>
          <w:szCs w:val="22"/>
        </w:rPr>
        <w:t xml:space="preserve">Institutional governance signals are positive: Zubr Capital Fund I has been co-financed by the EBRD and FMO (Dutch development bank), with Wargaming as an additional LP. Each of these LPs runs its own integrity DD before commitment, which constitutes a meaningful third-party clearance signal — though not a substitute for fresh, deal-specific KYC.</w:t>
      </w:r>
    </w:p>
    <w:p>
      <w:pPr>
        <w:spacing w:after="120" w:before="0"/>
      </w:pPr>
      <w:r>
        <w:rPr>
          <w:rFonts w:ascii="Calibri" w:cs="Calibri" w:eastAsia="Calibri" w:hAnsi="Calibri"/>
          <w:sz w:val="22"/>
          <w:szCs w:val="22"/>
        </w:rPr>
        <w:t xml:space="preserve">Residual risk concentrates on three areas: (i) the Belarusian origin of the firm and its founders, which warrants explicit confirmation that there is no current Belarus operating exposure and no regime-loyalist linkage; (ii) historical portfolio exposure to Russia / Ukraine via Atlant-M predecessor entities and via the Softline / Noventiq investment chain, which should be retraced to confirm clean post-2022 separation; (iii) information gaps on primary corporate registries (Cyprus DEPC, Lithuania Registrų centras, Poland KRS, Belarus ЕГР, Jersey JFSC) which were not directly accessible in the current research environment.</w:t>
      </w:r>
    </w:p>
    <w:p>
      <w:pPr>
        <w:spacing w:after="120" w:before="0"/>
      </w:pPr>
      <w:r>
        <w:rPr>
          <w:rFonts w:ascii="Calibri" w:cs="Calibri" w:eastAsia="Calibri" w:hAnsi="Calibri"/>
          <w:sz w:val="22"/>
          <w:szCs w:val="22"/>
        </w:rPr>
        <w:t xml:space="preserve">Overall posture: GREEN-AMBER. No disqualifying findings. Several specific registry pulls and one third-party integrity report are recommended before any partner-level transaction closes.</w:t>
      </w:r>
    </w:p>
    <w:p>
      <w:pPr>
        <w:pStyle w:val="Heading2"/>
        <w:spacing w:after="120" w:before="240"/>
      </w:pPr>
      <w:r>
        <w:rPr>
          <w:rFonts w:ascii="Calibri" w:cs="Calibri" w:eastAsia="Calibri" w:hAnsi="Calibri"/>
          <w:b/>
          <w:bCs/>
          <w:color w:val="1F3864"/>
          <w:sz w:val="26"/>
          <w:szCs w:val="26"/>
        </w:rPr>
        <w:t xml:space="preserve">Risk-rating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00"/>
        <w:gridCol w:w="4740"/>
      </w:tblGrid>
      <w:tr>
        <w:trPr>
          <w:tblHeader/>
        </w:trPr>
        <w:tc>
          <w:tcPr>
            <w:tcW w:type="dxa" w:w="312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r>
              <w:rPr>
                <w:rFonts w:ascii="Calibri" w:cs="Calibri" w:eastAsia="Calibri" w:hAnsi="Calibri"/>
                <w:b/>
                <w:bCs/>
                <w:color w:val="FFFFFF"/>
                <w:sz w:val="20"/>
                <w:szCs w:val="20"/>
              </w:rPr>
              <w:t xml:space="preserve">Risk dimension</w:t>
            </w:r>
          </w:p>
        </w:tc>
        <w:tc>
          <w:tcPr>
            <w:tcW w:type="dxa" w:w="150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Assessment</w:t>
            </w:r>
          </w:p>
        </w:tc>
        <w:tc>
          <w:tcPr>
            <w:tcW w:type="dxa" w:w="474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r>
              <w:rPr>
                <w:rFonts w:ascii="Calibri" w:cs="Calibri" w:eastAsia="Calibri" w:hAnsi="Calibri"/>
                <w:b/>
                <w:bCs/>
                <w:color w:val="FFFFFF"/>
                <w:sz w:val="20"/>
                <w:szCs w:val="20"/>
              </w:rPr>
              <w:t xml:space="preserve">Basis</w:t>
            </w:r>
          </w:p>
        </w:tc>
      </w:tr>
      <w:tr>
        <w:tc>
          <w:tcPr>
            <w:tcW w:type="dxa" w:w="312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Sanctions exposure (subject personally)</w:t>
            </w:r>
          </w:p>
        </w:tc>
        <w:tc>
          <w:tcPr>
            <w:tcW w:type="dxa" w:w="15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LOW</w:t>
            </w:r>
          </w:p>
        </w:tc>
        <w:tc>
          <w:tcPr>
            <w:tcW w:type="dxa" w:w="474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No name/DOB match against OFAC SDN, EU Consolidated, UK OFSI, or UN. The 'Sergey Nikolaevich Ryabukhin' visible on Russia-related sanctions trackers is a different person (Russian senator, b. 1954).</w:t>
            </w:r>
          </w:p>
        </w:tc>
      </w:tr>
      <w:tr>
        <w:tc>
          <w:tcPr>
            <w:tcW w:type="dxa" w:w="312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Sanctions exposure (firm / portfolio)</w:t>
            </w:r>
          </w:p>
        </w:tc>
        <w:tc>
          <w:tcPr>
            <w:tcW w:type="dxa" w:w="1500"/>
            <w:tcBorders>
              <w:top w:val="single" w:color="BBBBBB" w:sz="1"/>
              <w:left w:val="single" w:color="BBBBBB" w:sz="1"/>
              <w:bottom w:val="single" w:color="BBBBBB" w:sz="1"/>
              <w:right w:val="single" w:color="BBBBBB" w:sz="1"/>
            </w:tcBorders>
            <w:shd w:fill="FFF2CC" w:color="auto"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LOW-MED</w:t>
            </w:r>
          </w:p>
        </w:tc>
        <w:tc>
          <w:tcPr>
            <w:tcW w:type="dxa" w:w="474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Zubr Capital itself: not designated. Portfolio includes Noventiq (Softline international rebrand) — Russian Softline group has had complex Russia-exposure issues. EBRD/FMO continued partnership = third-party clearance signal.</w:t>
            </w:r>
          </w:p>
        </w:tc>
      </w:tr>
      <w:tr>
        <w:tc>
          <w:tcPr>
            <w:tcW w:type="dxa" w:w="312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PEP status</w:t>
            </w:r>
          </w:p>
        </w:tc>
        <w:tc>
          <w:tcPr>
            <w:tcW w:type="dxa" w:w="15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LOW</w:t>
            </w:r>
          </w:p>
        </w:tc>
        <w:tc>
          <w:tcPr>
            <w:tcW w:type="dxa" w:w="474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No public office, no party role, no state-controlled enterprise tie identified. Belprauda monitors Belarusian businessmen for regime ties — Khusaenov (founder) is listed neutrally as an entrepreneur with no regime-loyalty flag; Rabukhin not separately profiled.</w:t>
            </w:r>
          </w:p>
        </w:tc>
      </w:tr>
      <w:tr>
        <w:tc>
          <w:tcPr>
            <w:tcW w:type="dxa" w:w="312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Belarus regime nexus</w:t>
            </w:r>
          </w:p>
        </w:tc>
        <w:tc>
          <w:tcPr>
            <w:tcW w:type="dxa" w:w="1500"/>
            <w:tcBorders>
              <w:top w:val="single" w:color="BBBBBB" w:sz="1"/>
              <w:left w:val="single" w:color="BBBBBB" w:sz="1"/>
              <w:bottom w:val="single" w:color="BBBBBB" w:sz="1"/>
              <w:right w:val="single" w:color="BBBBBB" w:sz="1"/>
            </w:tcBorders>
            <w:shd w:fill="FFF2CC" w:color="auto"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LOW-MED</w:t>
            </w:r>
          </w:p>
        </w:tc>
        <w:tc>
          <w:tcPr>
            <w:tcW w:type="dxa" w:w="474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Origin firm (Atlant-M) and Zubr Capital were founded inside Belarus. Operating HQ relocated to Cyprus; investment team now distributed across Cyprus / Vilnius / Warsaw. Belarus operating footprint has been wound down.</w:t>
            </w:r>
          </w:p>
        </w:tc>
      </w:tr>
      <w:tr>
        <w:tc>
          <w:tcPr>
            <w:tcW w:type="dxa" w:w="312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Adverse media</w:t>
            </w:r>
          </w:p>
        </w:tc>
        <w:tc>
          <w:tcPr>
            <w:tcW w:type="dxa" w:w="15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LOW</w:t>
            </w:r>
          </w:p>
        </w:tc>
        <w:tc>
          <w:tcPr>
            <w:tcW w:type="dxa" w:w="474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No criminal, fraud, harassment, or litigation hits surfaced in English, Russian, Belarusian, or Greek-language press. Public mentions are professional (TechIsland, Cyprus Mail, EBRD press).</w:t>
            </w:r>
          </w:p>
        </w:tc>
      </w:tr>
      <w:tr>
        <w:tc>
          <w:tcPr>
            <w:tcW w:type="dxa" w:w="312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Litigation / regulatory</w:t>
            </w:r>
          </w:p>
        </w:tc>
        <w:tc>
          <w:tcPr>
            <w:tcW w:type="dxa" w:w="15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LOW</w:t>
            </w:r>
          </w:p>
        </w:tc>
        <w:tc>
          <w:tcPr>
            <w:tcW w:type="dxa" w:w="474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No civil or commercial dispute filings surfaced. EBRD-financed fund implies AML, integrity and ABC due diligence already conducted by the development bank.</w:t>
            </w:r>
          </w:p>
        </w:tc>
      </w:tr>
      <w:tr>
        <w:tc>
          <w:tcPr>
            <w:tcW w:type="dxa" w:w="312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Corporate governance signal</w:t>
            </w:r>
          </w:p>
        </w:tc>
        <w:tc>
          <w:tcPr>
            <w:tcW w:type="dxa" w:w="15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POSITIVE</w:t>
            </w:r>
          </w:p>
        </w:tc>
        <w:tc>
          <w:tcPr>
            <w:tcW w:type="dxa" w:w="474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EBRD, FMO and Wargaming as LPs; Jersey-domiciled fund; long-running portfolio with named exits (Targetprocess to Apptio/Vista; MediaCube; Noventiq LSE IPO). Consistent with institutional-grade governance.</w:t>
            </w:r>
          </w:p>
        </w:tc>
      </w:tr>
      <w:tr>
        <w:tc>
          <w:tcPr>
            <w:tcW w:type="dxa" w:w="312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Information gaps</w:t>
            </w:r>
          </w:p>
        </w:tc>
        <w:tc>
          <w:tcPr>
            <w:tcW w:type="dxa" w:w="1500"/>
            <w:tcBorders>
              <w:top w:val="single" w:color="BBBBBB" w:sz="1"/>
              <w:left w:val="single" w:color="BBBBBB" w:sz="1"/>
              <w:bottom w:val="single" w:color="BBBBBB" w:sz="1"/>
              <w:right w:val="single" w:color="BBBBBB" w:sz="1"/>
            </w:tcBorders>
            <w:shd w:fill="FFF2CC" w:color="auto"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MED</w:t>
            </w:r>
          </w:p>
        </w:tc>
        <w:tc>
          <w:tcPr>
            <w:tcW w:type="dxa" w:w="474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Cyprus DEPC, Lithuania Registrų centras, Poland KRS/CEIDG and Belarus ЕГР direct registry queries were not completed in this pass (sites blocked from current environment). UBO chain on the Cyprus management company is not independently verified.</w:t>
            </w:r>
          </w:p>
        </w:tc>
      </w:tr>
    </w:tbl>
    <w:p>
      <w:r>
        <w:br w:type="page"/>
      </w:r>
    </w:p>
    <w:p>
      <w:pPr>
        <w:pStyle w:val="Heading1"/>
        <w:spacing w:after="180" w:before="360"/>
      </w:pPr>
      <w:r>
        <w:rPr>
          <w:rFonts w:ascii="Calibri" w:cs="Calibri" w:eastAsia="Calibri" w:hAnsi="Calibri"/>
          <w:b/>
          <w:bCs/>
          <w:color w:val="1F3864"/>
          <w:sz w:val="32"/>
          <w:szCs w:val="32"/>
        </w:rPr>
        <w:t xml:space="preserve">2. Subject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Full name</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Siarhei Rabukhin. Belarusian transliteration 'Siarhei'; Russian transliteration would render 'Sergey Rabukhin' / 'Сергей Рябухин' / Belarusian 'Сяргей Рабухін'.</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Origin</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Belarus. Earlier career anchored in Minsk (Atlant-M group, 1990s-2000s; predecessor distribution and consumer-electronics business).</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Current role</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Managing Partner, Zubr Capital. Co-leads private-equity investing alongside Oleg Khusaenov (founding partner and CEO of Zubr Capital, formerly Chairman of the Board, Atlant-M Holding).</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Education</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Stockholm School of Economics, Executive Education programme (per LinkedIn). Earlier — Belarusian higher education (Radio Engineering University / BSUIR-area research center, Minsk, 1987-1992 per indexed bio).</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Location</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Cyprus (Limassol area, by virtue of Zubr Capital operating HQ).</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Network</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500+ LinkedIn connections; speaker at TechIsland startup-school workshops in Cyprus (June 2023); contributor to Zubr Capital's 'League of Analysts' programme.</w:t>
            </w:r>
          </w:p>
        </w:tc>
      </w:tr>
      <w:tr>
        <w:tc>
          <w:tcPr>
            <w:tcW w:type="dxa" w:w="24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Linked entities (public)</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Zubr Capital (Cyprus operating HQ; Jersey GP); historical: Atlant-M Holding (auto distribution / consumer electronics group founded 1991; exit/dispersal post-2022). Portfolio-level board roles likely but not enumerated in public sources.</w:t>
            </w:r>
          </w:p>
        </w:tc>
      </w:tr>
    </w:tbl>
    <w:p>
      <w:pPr>
        <w:pStyle w:val="Heading2"/>
        <w:spacing w:after="120" w:before="240"/>
      </w:pPr>
      <w:r>
        <w:rPr>
          <w:rFonts w:ascii="Calibri" w:cs="Calibri" w:eastAsia="Calibri" w:hAnsi="Calibri"/>
          <w:b/>
          <w:bCs/>
          <w:color w:val="1F3864"/>
          <w:sz w:val="26"/>
          <w:szCs w:val="26"/>
        </w:rPr>
        <w:t xml:space="preserve">Disambiguation: subject vs. Russian senator</w:t>
      </w:r>
    </w:p>
    <w:p>
      <w:pPr>
        <w:spacing w:after="120" w:before="0"/>
      </w:pPr>
      <w:r>
        <w:rPr>
          <w:rFonts w:ascii="Calibri" w:cs="Calibri" w:eastAsia="Calibri" w:hAnsi="Calibri"/>
          <w:sz w:val="22"/>
          <w:szCs w:val="22"/>
        </w:rPr>
        <w:t xml:space="preserve">A common name-collision risk on this file is with Sergey Nikolaevich Ryabukhin (Сергей Николаевич Рябухин), Russian Federation Council member, First Deputy Chair of the Budget and Financial Markets Committee, born 13 November 1954, Ulyanovsk Polytechnic Institute. That individual is a Russian politician, has been publicly reported on Western Russia-related sanctions trackers, and is NOT the subject of this memo. The subject (a) is Belarusian in origin and uses the Belarusian transliteration 'Siarhei', (b) operates in private-equity / commercial activity not in public office, (c) is associated with Atlant-M / Zubr Capital, none of which connect to the senator. Any future automated screening should be configured to suppress this false-positive.</w:t>
      </w:r>
    </w:p>
    <w:p>
      <w:r>
        <w:br w:type="page"/>
      </w:r>
    </w:p>
    <w:p>
      <w:pPr>
        <w:pStyle w:val="Heading1"/>
        <w:spacing w:after="180" w:before="360"/>
      </w:pPr>
      <w:r>
        <w:rPr>
          <w:rFonts w:ascii="Calibri" w:cs="Calibri" w:eastAsia="Calibri" w:hAnsi="Calibri"/>
          <w:b/>
          <w:bCs/>
          <w:color w:val="1F3864"/>
          <w:sz w:val="32"/>
          <w:szCs w:val="32"/>
        </w:rPr>
        <w:t xml:space="preserve">3. Professional profile</w:t>
      </w:r>
    </w:p>
    <w:p>
      <w:pPr>
        <w:pStyle w:val="Heading3"/>
        <w:spacing w:after="100" w:before="180"/>
      </w:pPr>
      <w:r>
        <w:rPr>
          <w:rFonts w:ascii="Calibri" w:cs="Calibri" w:eastAsia="Calibri" w:hAnsi="Calibri"/>
          <w:b/>
          <w:bCs/>
          <w:color w:val="2E2E2E"/>
          <w:sz w:val="23"/>
          <w:szCs w:val="23"/>
        </w:rPr>
        <w:t xml:space="preserve">Current — Zubr Capital</w:t>
      </w:r>
    </w:p>
    <w:p>
      <w:pPr>
        <w:pStyle w:val="ListParagraph"/>
        <w:numPr>
          <w:ilvl w:val="0"/>
          <w:numId w:val="2"/>
        </w:numPr>
        <w:spacing w:after="80"/>
      </w:pPr>
      <w:r>
        <w:rPr>
          <w:rFonts w:ascii="Calibri" w:cs="Calibri" w:eastAsia="Calibri" w:hAnsi="Calibri"/>
          <w:sz w:val="22"/>
          <w:szCs w:val="22"/>
        </w:rPr>
        <w:t xml:space="preserve">Managing Partner; one of approximately 8 partners. Firm has 24 employees distributed across Cyprus, Lithuania, Poland (and at least one further location).</w:t>
      </w:r>
    </w:p>
    <w:p>
      <w:pPr>
        <w:pStyle w:val="ListParagraph"/>
        <w:numPr>
          <w:ilvl w:val="0"/>
          <w:numId w:val="2"/>
        </w:numPr>
        <w:spacing w:after="80"/>
      </w:pPr>
      <w:r>
        <w:rPr>
          <w:rFonts w:ascii="Calibri" w:cs="Calibri" w:eastAsia="Calibri" w:hAnsi="Calibri"/>
          <w:sz w:val="22"/>
          <w:szCs w:val="22"/>
        </w:rPr>
        <w:t xml:space="preserve">Zubr Capital was founded by top management of Atlant-M Holding in 2009-2010 and was the first private-equity manager out of Belarus.</w:t>
      </w:r>
    </w:p>
    <w:p>
      <w:pPr>
        <w:pStyle w:val="ListParagraph"/>
        <w:numPr>
          <w:ilvl w:val="0"/>
          <w:numId w:val="2"/>
        </w:numPr>
        <w:spacing w:after="80"/>
      </w:pPr>
      <w:r>
        <w:rPr>
          <w:rFonts w:ascii="Calibri" w:cs="Calibri" w:eastAsia="Calibri" w:hAnsi="Calibri"/>
          <w:sz w:val="22"/>
          <w:szCs w:val="22"/>
        </w:rPr>
        <w:t xml:space="preserve">Operating headquarters now in Limassol, Cyprus. The general partner (Zubr Capital Fund I LP) is a Jersey limited partnership domiciled in Saint Helier, per EBRD project documentation.</w:t>
      </w:r>
    </w:p>
    <w:p>
      <w:pPr>
        <w:pStyle w:val="ListParagraph"/>
        <w:numPr>
          <w:ilvl w:val="0"/>
          <w:numId w:val="2"/>
        </w:numPr>
        <w:spacing w:after="80"/>
      </w:pPr>
      <w:r>
        <w:rPr>
          <w:rFonts w:ascii="Calibri" w:cs="Calibri" w:eastAsia="Calibri" w:hAnsi="Calibri"/>
          <w:sz w:val="22"/>
          <w:szCs w:val="22"/>
        </w:rPr>
        <w:t xml:space="preserve">Limited Partners include EBRD, FMO (Dutch development bank) and Wargaming. EBRD risk-categorised Zubr Capital as 'FI' (Financial Intermediary), which is the standard EBRD treatment for PE-fund commitments.</w:t>
      </w:r>
    </w:p>
    <w:p>
      <w:pPr>
        <w:pStyle w:val="ListParagraph"/>
        <w:numPr>
          <w:ilvl w:val="0"/>
          <w:numId w:val="2"/>
        </w:numPr>
        <w:spacing w:after="80"/>
      </w:pPr>
      <w:r>
        <w:rPr>
          <w:rFonts w:ascii="Calibri" w:cs="Calibri" w:eastAsia="Calibri" w:hAnsi="Calibri"/>
          <w:sz w:val="22"/>
          <w:szCs w:val="22"/>
        </w:rPr>
        <w:t xml:space="preserve">Stated strategy: invest USD ~250 million across ~30 tech companies, including stated ambitions to back two unicorns. TMT and consumer focus.</w:t>
      </w:r>
    </w:p>
    <w:p>
      <w:pPr>
        <w:pStyle w:val="ListParagraph"/>
        <w:numPr>
          <w:ilvl w:val="0"/>
          <w:numId w:val="2"/>
        </w:numPr>
        <w:spacing w:after="80"/>
      </w:pPr>
      <w:r>
        <w:rPr>
          <w:rFonts w:ascii="Calibri" w:cs="Calibri" w:eastAsia="Calibri" w:hAnsi="Calibri"/>
          <w:sz w:val="22"/>
          <w:szCs w:val="22"/>
        </w:rPr>
        <w:t xml:space="preserve">Notable portfolio actions: invested in Noventiq (Dec 2017, IPO on LSE March 2021); invested in Targetprocess (April 2018, exited Feb 2021 to Apptio / Vista Equity Partners); invested in MediaCube (Aug 2019, exit Oct 2024); EBRD-co-funded acquisition of Belarusian cosmetics chain Mila (2019); current Cyprus-relevant investments in Bazaraki.com (CY classifieds platform), Placy (CY AI startup, €1M pre-seed Sep 2024), and a Limassol-based gaming studio (Apr 2026).</w:t>
      </w:r>
    </w:p>
    <w:p>
      <w:pPr>
        <w:pStyle w:val="Heading3"/>
        <w:spacing w:after="100" w:before="180"/>
      </w:pPr>
      <w:r>
        <w:rPr>
          <w:rFonts w:ascii="Calibri" w:cs="Calibri" w:eastAsia="Calibri" w:hAnsi="Calibri"/>
          <w:b/>
          <w:bCs/>
          <w:color w:val="2E2E2E"/>
          <w:sz w:val="23"/>
          <w:szCs w:val="23"/>
        </w:rPr>
        <w:t xml:space="preserve">Earlier career</w:t>
      </w:r>
    </w:p>
    <w:p>
      <w:pPr>
        <w:pStyle w:val="ListParagraph"/>
        <w:numPr>
          <w:ilvl w:val="0"/>
          <w:numId w:val="2"/>
        </w:numPr>
        <w:spacing w:after="80"/>
      </w:pPr>
      <w:r>
        <w:rPr>
          <w:rFonts w:ascii="Calibri" w:cs="Calibri" w:eastAsia="Calibri" w:hAnsi="Calibri"/>
          <w:sz w:val="22"/>
          <w:szCs w:val="22"/>
        </w:rPr>
        <w:t xml:space="preserve">Pre-Zubr Capital: senior positions in Atlant-M Holding (consumer-goods and auto-distribution group operating in Belarus, Russia and Ukraine, peak turnover &gt;USD 1B/year, ~28 portfolio companies). Public profile mentions HR-policy and compensation-system work at Atlant-M.</w:t>
      </w:r>
    </w:p>
    <w:p>
      <w:pPr>
        <w:pStyle w:val="ListParagraph"/>
        <w:numPr>
          <w:ilvl w:val="0"/>
          <w:numId w:val="2"/>
        </w:numPr>
        <w:spacing w:after="80"/>
      </w:pPr>
      <w:r>
        <w:rPr>
          <w:rFonts w:ascii="Calibri" w:cs="Calibri" w:eastAsia="Calibri" w:hAnsi="Calibri"/>
          <w:sz w:val="22"/>
          <w:szCs w:val="22"/>
        </w:rPr>
        <w:t xml:space="preserve">1990s: built a leading computer-component distribution business in Eastern Europe / former USSR (indexed bio).</w:t>
      </w:r>
    </w:p>
    <w:p>
      <w:pPr>
        <w:pStyle w:val="ListParagraph"/>
        <w:numPr>
          <w:ilvl w:val="0"/>
          <w:numId w:val="2"/>
        </w:numPr>
        <w:spacing w:after="80"/>
      </w:pPr>
      <w:r>
        <w:rPr>
          <w:rFonts w:ascii="Calibri" w:cs="Calibri" w:eastAsia="Calibri" w:hAnsi="Calibri"/>
          <w:sz w:val="22"/>
          <w:szCs w:val="22"/>
        </w:rPr>
        <w:t xml:space="preserve">1987-1992: research-centre role at a radio-engineering university in Minsk (indexed bio).</w:t>
      </w:r>
    </w:p>
    <w:p>
      <w:pPr>
        <w:pStyle w:val="Heading3"/>
        <w:spacing w:after="100" w:before="180"/>
      </w:pPr>
      <w:r>
        <w:rPr>
          <w:rFonts w:ascii="Calibri" w:cs="Calibri" w:eastAsia="Calibri" w:hAnsi="Calibri"/>
          <w:b/>
          <w:bCs/>
          <w:color w:val="2E2E2E"/>
          <w:sz w:val="23"/>
          <w:szCs w:val="23"/>
        </w:rPr>
        <w:t xml:space="preserve">Education and public-facing engagement</w:t>
      </w:r>
    </w:p>
    <w:p>
      <w:pPr>
        <w:pStyle w:val="ListParagraph"/>
        <w:numPr>
          <w:ilvl w:val="0"/>
          <w:numId w:val="2"/>
        </w:numPr>
        <w:spacing w:after="80"/>
      </w:pPr>
      <w:r>
        <w:rPr>
          <w:rFonts w:ascii="Calibri" w:cs="Calibri" w:eastAsia="Calibri" w:hAnsi="Calibri"/>
          <w:sz w:val="22"/>
          <w:szCs w:val="22"/>
        </w:rPr>
        <w:t xml:space="preserve">Stockholm School of Economics — Executive Education (per LinkedIn).</w:t>
      </w:r>
    </w:p>
    <w:p>
      <w:pPr>
        <w:pStyle w:val="ListParagraph"/>
        <w:numPr>
          <w:ilvl w:val="0"/>
          <w:numId w:val="2"/>
        </w:numPr>
        <w:spacing w:after="80"/>
      </w:pPr>
      <w:r>
        <w:rPr>
          <w:rFonts w:ascii="Calibri" w:cs="Calibri" w:eastAsia="Calibri" w:hAnsi="Calibri"/>
          <w:sz w:val="22"/>
          <w:szCs w:val="22"/>
        </w:rPr>
        <w:t xml:space="preserve">Speaker, TechIsland startup-school workshop, Cyprus (June 2023). Mentor/contributor to Zubr Capital's 'League of Analysts' programme (Poland cohort completed).</w:t>
      </w:r>
    </w:p>
    <w:p>
      <w:pPr>
        <w:pStyle w:val="ListParagraph"/>
        <w:numPr>
          <w:ilvl w:val="0"/>
          <w:numId w:val="2"/>
        </w:numPr>
        <w:spacing w:after="80"/>
      </w:pPr>
      <w:r>
        <w:rPr>
          <w:rFonts w:ascii="Calibri" w:cs="Calibri" w:eastAsia="Calibri" w:hAnsi="Calibri"/>
          <w:sz w:val="22"/>
          <w:szCs w:val="22"/>
        </w:rPr>
        <w:t xml:space="preserve">Public footprint is low-volume but consistently professional; no personal-controversy or partisan-political content surfaced.</w:t>
      </w:r>
    </w:p>
    <w:p>
      <w:r>
        <w:br w:type="page"/>
      </w:r>
    </w:p>
    <w:p>
      <w:pPr>
        <w:pStyle w:val="Heading1"/>
        <w:spacing w:after="180" w:before="360"/>
      </w:pPr>
      <w:r>
        <w:rPr>
          <w:rFonts w:ascii="Calibri" w:cs="Calibri" w:eastAsia="Calibri" w:hAnsi="Calibri"/>
          <w:b/>
          <w:bCs/>
          <w:color w:val="1F3864"/>
          <w:sz w:val="32"/>
          <w:szCs w:val="32"/>
        </w:rPr>
        <w:t xml:space="preserve">4. Multi-jurisdiction footprint</w:t>
      </w:r>
    </w:p>
    <w:p>
      <w:pPr>
        <w:spacing w:after="120" w:before="0"/>
      </w:pPr>
      <w:r>
        <w:rPr>
          <w:rFonts w:ascii="Calibri" w:cs="Calibri" w:eastAsia="Calibri" w:hAnsi="Calibri"/>
          <w:sz w:val="22"/>
          <w:szCs w:val="22"/>
        </w:rPr>
        <w:t xml:space="preserve">The following table summarises identified exposure by jurisdiction. None of these are independently verified at the primary-registry level in this pass; recommended verification steps are listed in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rPr>
          <w:tblHeader/>
        </w:trPr>
        <w:tc>
          <w:tcPr>
            <w:tcW w:type="dxa" w:w="160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r>
              <w:rPr>
                <w:rFonts w:ascii="Calibri" w:cs="Calibri" w:eastAsia="Calibri" w:hAnsi="Calibri"/>
                <w:b/>
                <w:bCs/>
                <w:color w:val="FFFFFF"/>
                <w:sz w:val="20"/>
                <w:szCs w:val="20"/>
              </w:rPr>
              <w:t xml:space="preserve">Jurisdiction</w:t>
            </w:r>
          </w:p>
        </w:tc>
        <w:tc>
          <w:tcPr>
            <w:tcW w:type="dxa" w:w="350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r>
              <w:rPr>
                <w:rFonts w:ascii="Calibri" w:cs="Calibri" w:eastAsia="Calibri" w:hAnsi="Calibri"/>
                <w:b/>
                <w:bCs/>
                <w:color w:val="FFFFFF"/>
                <w:sz w:val="20"/>
                <w:szCs w:val="20"/>
              </w:rPr>
              <w:t xml:space="preserve">Footprint identified</w:t>
            </w:r>
          </w:p>
        </w:tc>
        <w:tc>
          <w:tcPr>
            <w:tcW w:type="dxa" w:w="426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r>
              <w:rPr>
                <w:rFonts w:ascii="Calibri" w:cs="Calibri" w:eastAsia="Calibri" w:hAnsi="Calibri"/>
                <w:b/>
                <w:bCs/>
                <w:color w:val="FFFFFF"/>
                <w:sz w:val="20"/>
                <w:szCs w:val="20"/>
              </w:rPr>
              <w:t xml:space="preserve">Notes &amp; DD residual items</w:t>
            </w:r>
          </w:p>
        </w:tc>
      </w:tr>
      <w:tr>
        <w:tc>
          <w:tcPr>
            <w:tcW w:type="dxa" w:w="16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Cyprus (CY)</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Operating HQ of Zubr Capital in Limassol. Rabukhin is publicly resident in Cyprus. Active investments in Cypriot portfolio companies (Bazaraki.com, Placy, a Cyprus gaming studio).</w:t>
            </w:r>
          </w:p>
        </w:tc>
        <w:tc>
          <w:tcPr>
            <w:tcW w:type="dxa" w:w="42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Recommended: pull Cyprus DEPC (Department of Registrar of Companies and Intellectual Property) records for the Cyprus management entity to confirm Rabukhin's directorships, UBO disclosures, and shareholding.</w:t>
            </w:r>
          </w:p>
        </w:tc>
      </w:tr>
      <w:tr>
        <w:tc>
          <w:tcPr>
            <w:tcW w:type="dxa" w:w="16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Lithuania (LT)</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Vilnius office; Zubr Capital lists a Vilnius-based Investment Director and Partner (Viktar Dzenisevich). Investment activity into LT-relevant TMT companies.</w:t>
            </w:r>
          </w:p>
        </w:tc>
        <w:tc>
          <w:tcPr>
            <w:tcW w:type="dxa" w:w="42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Recommended: query Registrų centras (registry of legal entities) for any Lithuanian operating or holding entity linked to Zubr Capital or to Rabukhin personally.</w:t>
            </w:r>
          </w:p>
        </w:tc>
      </w:tr>
      <w:tr>
        <w:tc>
          <w:tcPr>
            <w:tcW w:type="dxa" w:w="16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Poland (PL)</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Warsaw presence; Zubr Capital runs investor events and 'League of Analysts' programme in Poland; ~8 partners distributed across PL/CY/+1.</w:t>
            </w:r>
          </w:p>
        </w:tc>
        <w:tc>
          <w:tcPr>
            <w:tcW w:type="dxa" w:w="42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Recommended: query KRS (court registry) and CEIDG (sole proprietor registry) for any PL entity. Cross-check against Polish portfolio companies.</w:t>
            </w:r>
          </w:p>
        </w:tc>
      </w:tr>
      <w:tr>
        <w:tc>
          <w:tcPr>
            <w:tcW w:type="dxa" w:w="16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Belarus (BY)</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Origin jurisdiction. Zubr Capital founded 2009-2010 in Minsk; founders came out of Atlant-M auto distribution group. Belarus operating footprint has materially reduced post-2020 and post-Feb-2022; investment team and fund domicile now offshore.</w:t>
            </w:r>
          </w:p>
        </w:tc>
        <w:tc>
          <w:tcPr>
            <w:tcW w:type="dxa" w:w="42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Recommended: ЕГР (Unified State Register) check for any residual BY legal-entity ties and any BY-side regulatory or tax filings against Rabukhin individually.</w:t>
            </w:r>
          </w:p>
        </w:tc>
      </w:tr>
      <w:tr>
        <w:tc>
          <w:tcPr>
            <w:tcW w:type="dxa" w:w="16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Channel Islands (Jersey)</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Zubr Capital Fund I LP is a Jersey-domiciled limited partnership; legal HQ in Saint Helier. EBRD project documentation confirms the structure.</w:t>
            </w:r>
          </w:p>
        </w:tc>
        <w:tc>
          <w:tcPr>
            <w:tcW w:type="dxa" w:w="42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Recommended: JFSC (Jersey Financial Services Commission) directory check for the GP and any registered roles.</w:t>
            </w:r>
          </w:p>
        </w:tc>
      </w:tr>
      <w:tr>
        <w:tc>
          <w:tcPr>
            <w:tcW w:type="dxa" w:w="1600"/>
            <w:tcBorders>
              <w:top w:val="single" w:color="BBBBBB" w:sz="1"/>
              <w:left w:val="single" w:color="BBBBBB" w:sz="1"/>
              <w:bottom w:val="single" w:color="BBBBBB" w:sz="1"/>
              <w:right w:val="single" w:color="BBBBBB" w:sz="1"/>
            </w:tcBorders>
            <w:shd w:fill="F2F2F2" w:color="auto" w:val="clear"/>
            <w:tcMar>
              <w:top w:type="dxa" w:w="100"/>
              <w:left w:type="dxa" w:w="140"/>
              <w:bottom w:type="dxa" w:w="100"/>
              <w:right w:type="dxa" w:w="140"/>
            </w:tcMar>
          </w:tcPr>
          <w:p>
            <w:r>
              <w:rPr>
                <w:rFonts w:ascii="Calibri" w:cs="Calibri" w:eastAsia="Calibri" w:hAnsi="Calibri"/>
                <w:b/>
                <w:bCs/>
                <w:color w:val="000000"/>
                <w:sz w:val="20"/>
                <w:szCs w:val="20"/>
              </w:rPr>
              <w:t xml:space="preserve">Other (RU/UA observed historically)</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Pre-2022 portfolio exposure to Russia/Ukraine via Atlant-M-era assets and Softline/Noventiq. Active Russia-Ukraine ops not currently identified at Zubr Capital level.</w:t>
            </w:r>
          </w:p>
        </w:tc>
        <w:tc>
          <w:tcPr>
            <w:tcW w:type="dxa" w:w="42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Recommended: confirm in DD that no live Russia-domiciled holdco, no Russian beneficial ownership in current fund, and that Noventiq's post-2022 corporate separation from Russian Softline is documented.</w:t>
            </w:r>
          </w:p>
        </w:tc>
      </w:tr>
    </w:tbl>
    <w:p>
      <w:r>
        <w:br w:type="page"/>
      </w:r>
    </w:p>
    <w:p>
      <w:pPr>
        <w:pStyle w:val="Heading1"/>
        <w:spacing w:after="180" w:before="360"/>
      </w:pPr>
      <w:r>
        <w:rPr>
          <w:rFonts w:ascii="Calibri" w:cs="Calibri" w:eastAsia="Calibri" w:hAnsi="Calibri"/>
          <w:b/>
          <w:bCs/>
          <w:color w:val="1F3864"/>
          <w:sz w:val="32"/>
          <w:szCs w:val="32"/>
        </w:rPr>
        <w:t xml:space="preserve">5. Sanctions and watch-list screening</w:t>
      </w:r>
    </w:p>
    <w:p>
      <w:pPr>
        <w:spacing w:after="120" w:before="0"/>
      </w:pPr>
      <w:r>
        <w:rPr>
          <w:rFonts w:ascii="Calibri" w:cs="Calibri" w:eastAsia="Calibri" w:hAnsi="Calibri"/>
          <w:sz w:val="22"/>
          <w:szCs w:val="22"/>
        </w:rPr>
        <w:t xml:space="preserve">Screening performed against the lists below using both English and Cyrillic / Belarusian-Latin name variants (Siarhei Rabukhin, Sergey Rabukhin, Sergey Ryabukhin, Сергей Рябухин, Сяргей Рабухін). Cross-checked also against firm name (Zubr Capital) and founding-firm name (Atlant-M).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r>
              <w:rPr>
                <w:rFonts w:ascii="Calibri" w:cs="Calibri" w:eastAsia="Calibri" w:hAnsi="Calibri"/>
                <w:b/>
                <w:bCs/>
                <w:color w:val="FFFFFF"/>
                <w:sz w:val="20"/>
                <w:szCs w:val="20"/>
              </w:rPr>
              <w:t xml:space="preserve">List</w:t>
            </w:r>
          </w:p>
        </w:tc>
        <w:tc>
          <w:tcPr>
            <w:tcW w:type="dxa" w:w="130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Hit?</w:t>
            </w:r>
          </w:p>
        </w:tc>
        <w:tc>
          <w:tcPr>
            <w:tcW w:type="dxa" w:w="546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r>
              <w:rPr>
                <w:rFonts w:ascii="Calibri" w:cs="Calibri" w:eastAsia="Calibri" w:hAnsi="Calibri"/>
                <w:b/>
                <w:bCs/>
                <w:color w:val="FFFFFF"/>
                <w:sz w:val="20"/>
                <w:szCs w:val="20"/>
              </w:rPr>
              <w:t xml:space="preserve">Note</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bCs/>
                <w:color w:val="000000"/>
                <w:sz w:val="20"/>
                <w:szCs w:val="20"/>
              </w:rPr>
              <w:t xml:space="preserve">OFAC SDN (US)</w:t>
            </w:r>
          </w:p>
        </w:tc>
        <w:tc>
          <w:tcPr>
            <w:tcW w:type="dxa" w:w="13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No</w:t>
            </w:r>
          </w:p>
        </w:tc>
        <w:tc>
          <w:tcPr>
            <w:tcW w:type="dxa" w:w="54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No SDN entry under Siarhei Rabukhin or Belarusian variants. A 'Sergey Nikolaevich Ryabukhin' appears in Russia-related sanctions trackers — this is the Russian senator (Federation Council, b. 13 Nov 1954, Ulyanovsk Polytechnic), NOT the subject.</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bCs/>
                <w:color w:val="000000"/>
                <w:sz w:val="20"/>
                <w:szCs w:val="20"/>
              </w:rPr>
              <w:t xml:space="preserve">OFAC Belarus-specific</w:t>
            </w:r>
          </w:p>
        </w:tc>
        <w:tc>
          <w:tcPr>
            <w:tcW w:type="dxa" w:w="13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No</w:t>
            </w:r>
          </w:p>
        </w:tc>
        <w:tc>
          <w:tcPr>
            <w:tcW w:type="dxa" w:w="54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No match. Belarus sanctions programs primarily target regime officials, security services and select state-enterprise figures.</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bCs/>
                <w:color w:val="000000"/>
                <w:sz w:val="20"/>
                <w:szCs w:val="20"/>
              </w:rPr>
              <w:t xml:space="preserve">EU Consolidated</w:t>
            </w:r>
          </w:p>
        </w:tc>
        <w:tc>
          <w:tcPr>
            <w:tcW w:type="dxa" w:w="13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No</w:t>
            </w:r>
          </w:p>
        </w:tc>
        <w:tc>
          <w:tcPr>
            <w:tcW w:type="dxa" w:w="54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No match indexed for the Belarusian or Cypriot transliteration.</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bCs/>
                <w:color w:val="000000"/>
                <w:sz w:val="20"/>
                <w:szCs w:val="20"/>
              </w:rPr>
              <w:t xml:space="preserve">UK OFSI</w:t>
            </w:r>
          </w:p>
        </w:tc>
        <w:tc>
          <w:tcPr>
            <w:tcW w:type="dxa" w:w="13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No</w:t>
            </w:r>
          </w:p>
        </w:tc>
        <w:tc>
          <w:tcPr>
            <w:tcW w:type="dxa" w:w="54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No match. (FCDO 'rus0998' file referenced in OpenSanctions raw data relates to Russian senator Ryabukhin — disambiguated.)</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bCs/>
                <w:color w:val="000000"/>
                <w:sz w:val="20"/>
                <w:szCs w:val="20"/>
              </w:rPr>
              <w:t xml:space="preserve">UN Consolidated</w:t>
            </w:r>
          </w:p>
        </w:tc>
        <w:tc>
          <w:tcPr>
            <w:tcW w:type="dxa" w:w="13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No</w:t>
            </w:r>
          </w:p>
        </w:tc>
        <w:tc>
          <w:tcPr>
            <w:tcW w:type="dxa" w:w="54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No match.</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bCs/>
                <w:color w:val="000000"/>
                <w:sz w:val="20"/>
                <w:szCs w:val="20"/>
              </w:rPr>
              <w:t xml:space="preserve">OpenSanctions aggregated</w:t>
            </w:r>
          </w:p>
        </w:tc>
        <w:tc>
          <w:tcPr>
            <w:tcW w:type="dxa" w:w="13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No (direct match on subject)</w:t>
            </w:r>
          </w:p>
        </w:tc>
        <w:tc>
          <w:tcPr>
            <w:tcW w:type="dxa" w:w="54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Aggregator indexes both list hits and PEP signals. Subject is not surfaced as PEP. Subject's firm (Zubr Capital) is not surfaced as designated. (Direct OpenSanctions site fetch was unavailable from this environment; assessment based on search-engine indexing of OpenSanctions pages.)</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bCs/>
                <w:color w:val="000000"/>
                <w:sz w:val="20"/>
                <w:szCs w:val="20"/>
              </w:rPr>
              <w:t xml:space="preserve">Belarus 'Belprauda' civic database</w:t>
            </w:r>
          </w:p>
        </w:tc>
        <w:tc>
          <w:tcPr>
            <w:tcW w:type="dxa" w:w="1300"/>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No flag</w:t>
            </w:r>
          </w:p>
        </w:tc>
        <w:tc>
          <w:tcPr>
            <w:tcW w:type="dxa" w:w="54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Belprauda profiles Belarusian businessmen by regime-proximity. Co-founder Oleg Khusaenov has a profile listed as 'entrepreneur, founder of Zubr Capital and Atlant-M' — no loyalty/complicity flag attached. Rabukhin is not separately profiled.</w:t>
            </w:r>
          </w:p>
        </w:tc>
      </w:tr>
    </w:tbl>
    <w:p>
      <w:pPr>
        <w:spacing w:after="120" w:before="0"/>
      </w:pPr>
      <w:r>
        <w:rPr>
          <w:rFonts w:ascii="Calibri" w:cs="Calibri" w:eastAsia="Calibri" w:hAnsi="Calibri"/>
          <w:sz w:val="22"/>
          <w:szCs w:val="22"/>
        </w:rPr>
        <w:t xml:space="preserve">Note on portfolio-level Russia exposure: Noventiq is the international successor of the Softline group, separated from Softline Holding (the Russia-domiciled side). Softline's Russian operations and listed Russian entities have been subject to substantial sanctions and reputational scrutiny since 2022. Any partner-level transaction should explicitly confirm that the Zubr Capital interest is in Noventiq (post-restructuring) and not in any Russia-domiciled Softline vehicle. EBRD's continued engagement is a positive but non-conclusive signal.</w:t>
      </w:r>
    </w:p>
    <w:p>
      <w:pPr>
        <w:pStyle w:val="Heading1"/>
        <w:spacing w:after="180" w:before="360"/>
      </w:pPr>
      <w:r>
        <w:rPr>
          <w:rFonts w:ascii="Calibri" w:cs="Calibri" w:eastAsia="Calibri" w:hAnsi="Calibri"/>
          <w:b/>
          <w:bCs/>
          <w:color w:val="1F3864"/>
          <w:sz w:val="32"/>
          <w:szCs w:val="32"/>
        </w:rPr>
        <w:t xml:space="preserve">6. Adverse media</w:t>
      </w:r>
    </w:p>
    <w:p>
      <w:pPr>
        <w:spacing w:after="120" w:before="0"/>
      </w:pPr>
      <w:r>
        <w:rPr>
          <w:rFonts w:ascii="Calibri" w:cs="Calibri" w:eastAsia="Calibri" w:hAnsi="Calibri"/>
          <w:sz w:val="22"/>
          <w:szCs w:val="22"/>
        </w:rPr>
        <w:t xml:space="preserve">Searches performed in English, Russian, Belarusian, and against Cyprus-press sources. No adverse media surfaced in any of the following categories: criminal proceedings, fraud allegations, money-laundering allegations, sanctions evasion, civil litigation, employment / harassment claims, regulatory enforcement, political-loyalist or regime-collaboration allegations.</w:t>
      </w:r>
    </w:p>
    <w:p>
      <w:pPr>
        <w:spacing w:after="120" w:before="0"/>
      </w:pPr>
      <w:r>
        <w:rPr>
          <w:rFonts w:ascii="Calibri" w:cs="Calibri" w:eastAsia="Calibri" w:hAnsi="Calibri"/>
          <w:sz w:val="22"/>
          <w:szCs w:val="22"/>
        </w:rPr>
        <w:t xml:space="preserve">Surfaced media is positive-neutral: Cyprus Mail coverage of Zubr Capital (June 2023 — 'We remain positive about the future of Cyprus'; October 2025 — 'Zubr Capital moves to shape Cyprus innovation ecosystem'; March 2025 — Senior Investment Director Konstantin Zapolianski on the Cyprus tech sector), EBRD press releases on the Mila / Targetprocess transactions, and TechIsland educational programming.</w:t>
      </w:r>
    </w:p>
    <w:p>
      <w:pPr>
        <w:spacing w:after="120" w:before="0"/>
      </w:pPr>
      <w:r>
        <w:rPr>
          <w:rFonts w:ascii="Calibri" w:cs="Calibri" w:eastAsia="Calibri" w:hAnsi="Calibri"/>
          <w:sz w:val="22"/>
          <w:szCs w:val="22"/>
        </w:rPr>
        <w:t xml:space="preserve">Belprauda (a Belarusian civic database that profiles Belarusian businesspeople by their relationship to the Lukashenko regime) maintains a profile of Oleg Khusaenov as 'entrepreneur, founder of Zubr Capital and Atlant-M' with no regime-loyalty or human-rights flag attached. Siarhei Rabukhin is not separately profiled. The absence of an adverse Belprauda entry is meaningful: Belprauda actively names regime collaborators, so a non-flag is a moderate positive signal — not a clearance.</w:t>
      </w:r>
    </w:p>
    <w:p>
      <w:pPr>
        <w:pStyle w:val="Heading1"/>
        <w:spacing w:after="180" w:before="360"/>
      </w:pPr>
      <w:r>
        <w:rPr>
          <w:rFonts w:ascii="Calibri" w:cs="Calibri" w:eastAsia="Calibri" w:hAnsi="Calibri"/>
          <w:b/>
          <w:bCs/>
          <w:color w:val="1F3864"/>
          <w:sz w:val="32"/>
          <w:szCs w:val="32"/>
        </w:rPr>
        <w:t xml:space="preserve">7. Governance and institutional signals</w:t>
      </w:r>
    </w:p>
    <w:p>
      <w:pPr>
        <w:pStyle w:val="ListParagraph"/>
        <w:numPr>
          <w:ilvl w:val="0"/>
          <w:numId w:val="2"/>
        </w:numPr>
        <w:spacing w:after="80"/>
      </w:pPr>
      <w:r>
        <w:rPr>
          <w:rFonts w:ascii="Calibri" w:cs="Calibri" w:eastAsia="Calibri" w:hAnsi="Calibri"/>
          <w:sz w:val="22"/>
          <w:szCs w:val="22"/>
        </w:rPr>
        <w:t xml:space="preserve">EBRD investment (Zubr Capital Fund I, project 43908): triggers EBRD's full client due-diligence cycle, including KYC on managing partners, integrity screening, source-of-funds review, ABC and AML controls. Continued portfolio activity after 2022 implies absence of disqualifying findings at the institutional level.</w:t>
      </w:r>
    </w:p>
    <w:p>
      <w:pPr>
        <w:pStyle w:val="ListParagraph"/>
        <w:numPr>
          <w:ilvl w:val="0"/>
          <w:numId w:val="2"/>
        </w:numPr>
        <w:spacing w:after="80"/>
      </w:pPr>
      <w:r>
        <w:rPr>
          <w:rFonts w:ascii="Calibri" w:cs="Calibri" w:eastAsia="Calibri" w:hAnsi="Calibri"/>
          <w:sz w:val="22"/>
          <w:szCs w:val="22"/>
        </w:rPr>
        <w:t xml:space="preserve">FMO investment (project 52870): triggers FMO's own AML/CFT and integrity DD, plus the FMO-KfW joint Independent Complaints Mechanism for affected parties.</w:t>
      </w:r>
    </w:p>
    <w:p>
      <w:pPr>
        <w:pStyle w:val="ListParagraph"/>
        <w:numPr>
          <w:ilvl w:val="0"/>
          <w:numId w:val="2"/>
        </w:numPr>
        <w:spacing w:after="80"/>
      </w:pPr>
      <w:r>
        <w:rPr>
          <w:rFonts w:ascii="Calibri" w:cs="Calibri" w:eastAsia="Calibri" w:hAnsi="Calibri"/>
          <w:sz w:val="22"/>
          <w:szCs w:val="22"/>
        </w:rPr>
        <w:t xml:space="preserve">Wargaming as LP: Wargaming is a Cyprus-headquartered international gaming group with its own internal compliance — a credible private-sector LP signal.</w:t>
      </w:r>
    </w:p>
    <w:p>
      <w:pPr>
        <w:pStyle w:val="ListParagraph"/>
        <w:numPr>
          <w:ilvl w:val="0"/>
          <w:numId w:val="2"/>
        </w:numPr>
        <w:spacing w:after="80"/>
      </w:pPr>
      <w:r>
        <w:rPr>
          <w:rFonts w:ascii="Calibri" w:cs="Calibri" w:eastAsia="Calibri" w:hAnsi="Calibri"/>
          <w:sz w:val="22"/>
          <w:szCs w:val="22"/>
        </w:rPr>
        <w:t xml:space="preserve">Jersey GP domicile: implies oversight by Jersey Financial Services Commission (JFSC) and standard fund-administration KYC obligations.</w:t>
      </w:r>
    </w:p>
    <w:p>
      <w:pPr>
        <w:pStyle w:val="ListParagraph"/>
        <w:numPr>
          <w:ilvl w:val="0"/>
          <w:numId w:val="2"/>
        </w:numPr>
        <w:spacing w:after="80"/>
      </w:pPr>
      <w:r>
        <w:rPr>
          <w:rFonts w:ascii="Calibri" w:cs="Calibri" w:eastAsia="Calibri" w:hAnsi="Calibri"/>
          <w:sz w:val="22"/>
          <w:szCs w:val="22"/>
        </w:rPr>
        <w:t xml:space="preserve">Public team transparency: the firm's team page is openly published with named partners (including the requesting user), portfolio is fully disclosed with named exits, and senior partners give on-record press interviews.</w:t>
      </w:r>
    </w:p>
    <w:p>
      <w:pPr>
        <w:pStyle w:val="Heading1"/>
        <w:spacing w:after="180" w:before="360"/>
      </w:pPr>
      <w:r>
        <w:rPr>
          <w:rFonts w:ascii="Calibri" w:cs="Calibri" w:eastAsia="Calibri" w:hAnsi="Calibri"/>
          <w:b/>
          <w:bCs/>
          <w:color w:val="1F3864"/>
          <w:sz w:val="32"/>
          <w:szCs w:val="32"/>
        </w:rPr>
        <w:t xml:space="preserve">8. Residual risk considerations</w:t>
      </w:r>
    </w:p>
    <w:p>
      <w:pPr>
        <w:pStyle w:val="Heading3"/>
        <w:spacing w:after="100" w:before="180"/>
      </w:pPr>
      <w:r>
        <w:rPr>
          <w:rFonts w:ascii="Calibri" w:cs="Calibri" w:eastAsia="Calibri" w:hAnsi="Calibri"/>
          <w:b/>
          <w:bCs/>
          <w:color w:val="2E2E2E"/>
          <w:sz w:val="23"/>
          <w:szCs w:val="23"/>
        </w:rPr>
        <w:t xml:space="preserve">8.1  Belarusian origin</w:t>
      </w:r>
    </w:p>
    <w:p>
      <w:pPr>
        <w:spacing w:after="120" w:before="0"/>
      </w:pPr>
      <w:r>
        <w:rPr>
          <w:rFonts w:ascii="Calibri" w:cs="Calibri" w:eastAsia="Calibri" w:hAnsi="Calibri"/>
          <w:sz w:val="22"/>
          <w:szCs w:val="22"/>
        </w:rPr>
        <w:t xml:space="preserve">Although Zubr Capital has visibly relocated centre-of-gravity to Cyprus, both the firm and its founders carry Belarusian provenance. Counsel should obtain explicit written confirmation that (a) no Belarus-domiciled operating company or holding remains in the partner-affected structure, (b) Rabukhin holds no current advisory, board, or representational role in a Belarus-domiciled entity, (c) no Belarus state contracts or state-enterprise dealings are in train, and (d) tax-residence has been formally established outside Belarus.</w:t>
      </w:r>
    </w:p>
    <w:p>
      <w:pPr>
        <w:pStyle w:val="Heading3"/>
        <w:spacing w:after="100" w:before="180"/>
      </w:pPr>
      <w:r>
        <w:rPr>
          <w:rFonts w:ascii="Calibri" w:cs="Calibri" w:eastAsia="Calibri" w:hAnsi="Calibri"/>
          <w:b/>
          <w:bCs/>
          <w:color w:val="2E2E2E"/>
          <w:sz w:val="23"/>
          <w:szCs w:val="23"/>
        </w:rPr>
        <w:t xml:space="preserve">8.2  Russia / Ukraine historical exposure</w:t>
      </w:r>
    </w:p>
    <w:p>
      <w:pPr>
        <w:spacing w:after="120" w:before="0"/>
      </w:pPr>
      <w:r>
        <w:rPr>
          <w:rFonts w:ascii="Calibri" w:cs="Calibri" w:eastAsia="Calibri" w:hAnsi="Calibri"/>
          <w:sz w:val="22"/>
          <w:szCs w:val="22"/>
        </w:rPr>
        <w:t xml:space="preserve">Atlant-M predecessor group operated in Russia and Ukraine, and the Zubr Capital portfolio historically included exposure to Softline / Noventiq. A clean-separation memo from the firm's general counsel should explicitly trace: any residual Russia-domiciled holdco; the corporate separation date and instruments of the Noventiq / Russian Softline split; and any ongoing service or counterparty contract with Russian or Belarusian state-linked entities.</w:t>
      </w:r>
    </w:p>
    <w:p>
      <w:pPr>
        <w:pStyle w:val="Heading3"/>
        <w:spacing w:after="100" w:before="180"/>
      </w:pPr>
      <w:r>
        <w:rPr>
          <w:rFonts w:ascii="Calibri" w:cs="Calibri" w:eastAsia="Calibri" w:hAnsi="Calibri"/>
          <w:b/>
          <w:bCs/>
          <w:color w:val="2E2E2E"/>
          <w:sz w:val="23"/>
          <w:szCs w:val="23"/>
        </w:rPr>
        <w:t xml:space="preserve">8.3  UBO and politically-exposed-person status</w:t>
      </w:r>
    </w:p>
    <w:p>
      <w:pPr>
        <w:spacing w:after="120" w:before="0"/>
      </w:pPr>
      <w:r>
        <w:rPr>
          <w:rFonts w:ascii="Calibri" w:cs="Calibri" w:eastAsia="Calibri" w:hAnsi="Calibri"/>
          <w:sz w:val="22"/>
          <w:szCs w:val="22"/>
        </w:rPr>
        <w:t xml:space="preserve">No PEP indicators surfaced. However, PEP status under EU/UK rules extends to immediate family and known close associates. A full PEP screen (spouse, parents, children, business partners) is recommended under any provider with structured datasets.</w:t>
      </w:r>
    </w:p>
    <w:p>
      <w:pPr>
        <w:pStyle w:val="Heading3"/>
        <w:spacing w:after="100" w:before="180"/>
      </w:pPr>
      <w:r>
        <w:rPr>
          <w:rFonts w:ascii="Calibri" w:cs="Calibri" w:eastAsia="Calibri" w:hAnsi="Calibri"/>
          <w:b/>
          <w:bCs/>
          <w:color w:val="2E2E2E"/>
          <w:sz w:val="23"/>
          <w:szCs w:val="23"/>
        </w:rPr>
        <w:t xml:space="preserve">8.4  Information-gap risk</w:t>
      </w:r>
    </w:p>
    <w:p>
      <w:pPr>
        <w:spacing w:after="120" w:before="0"/>
      </w:pPr>
      <w:r>
        <w:rPr>
          <w:rFonts w:ascii="Calibri" w:cs="Calibri" w:eastAsia="Calibri" w:hAnsi="Calibri"/>
          <w:sz w:val="22"/>
          <w:szCs w:val="22"/>
        </w:rPr>
        <w:t xml:space="preserve">Direct registry queries (Cyprus DEPC, Lithuania Registrų centras, Poland KRS/CEIDG, Belarus ЕГР, Jersey JFSC) were not completed in this environment because those portals are not reachable from the current research network. Until those are closed, the multi-jurisdiction footprint described above relies on company-published data and secondary indexing.</w:t>
      </w:r>
    </w:p>
    <w:p>
      <w:pPr>
        <w:pStyle w:val="Heading1"/>
        <w:spacing w:after="180" w:before="360"/>
      </w:pPr>
      <w:r>
        <w:rPr>
          <w:rFonts w:ascii="Calibri" w:cs="Calibri" w:eastAsia="Calibri" w:hAnsi="Calibri"/>
          <w:b/>
          <w:bCs/>
          <w:color w:val="1F3864"/>
          <w:sz w:val="32"/>
          <w:szCs w:val="32"/>
        </w:rPr>
        <w:t xml:space="preserve">9. Information gaps and how to close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r>
              <w:rPr>
                <w:rFonts w:ascii="Calibri" w:cs="Calibri" w:eastAsia="Calibri" w:hAnsi="Calibri"/>
                <w:b/>
                <w:bCs/>
                <w:color w:val="FFFFFF"/>
                <w:sz w:val="20"/>
                <w:szCs w:val="20"/>
              </w:rPr>
              <w:t xml:space="preserve">Information gap</w:t>
            </w:r>
          </w:p>
        </w:tc>
        <w:tc>
          <w:tcPr>
            <w:tcW w:type="dxa" w:w="4680"/>
            <w:tcBorders>
              <w:top w:val="single" w:color="BBBBBB" w:sz="1"/>
              <w:left w:val="single" w:color="BBBBBB" w:sz="1"/>
              <w:bottom w:val="single" w:color="BBBBBB" w:sz="1"/>
              <w:right w:val="single" w:color="BBBBBB" w:sz="1"/>
            </w:tcBorders>
            <w:shd w:fill="1F3864" w:color="auto" w:val="clear"/>
            <w:tcMar>
              <w:top w:type="dxa" w:w="100"/>
              <w:left w:type="dxa" w:w="140"/>
              <w:bottom w:type="dxa" w:w="100"/>
              <w:right w:type="dxa" w:w="140"/>
            </w:tcMar>
          </w:tcPr>
          <w:p>
            <w:r>
              <w:rPr>
                <w:rFonts w:ascii="Calibri" w:cs="Calibri" w:eastAsia="Calibri" w:hAnsi="Calibri"/>
                <w:b/>
                <w:bCs/>
                <w:color w:val="FFFFFF"/>
                <w:sz w:val="20"/>
                <w:szCs w:val="20"/>
              </w:rPr>
              <w:t xml:space="preserve">How to close (paid / official source)</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Cyprus DEPC: full director &amp; UBO filings for Zubr Capital Cyprus entity</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Order extract from Department of Registrar of Companies and Intellectual Property (DEPC) via i-Cyprus / CyprusRegistry / official portal (efiling.drcor.mcit.gov.cy).</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Jersey GP and LP filings</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JFSC public registry search for 'Zubr Capital'; order limited partnership constitutional docs if available.</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Lithuania entity and directorships</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Registrų centras (rekvizitai.lt or official portal) — search 'Zubr', 'Rabukhin', 'Dzenisevich' for any LT legal entity.</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Poland entity</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KRS / CEIDG search via Ministry of Justice 'wyszukiwarka KRS'; ekrs.ms.gov.pl.</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Belarus residual</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ЕГР (egr.gov.by) for any remaining BY legal-entity ties and Atlant-M successor structures.</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Personal background, criminal record, civil litigation</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Order ID-anchored DD (3rd-party providers: World-Check, Refinitiv, LexisNexis, Sayari) under proper KYC/legal basis.</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PEP / source-of-wealth narrative</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Have counsel commission a formal integrity due diligence report with primary-source verification; LPs may already hold one from EBRD/FMO onboarding.</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Tax residence and crypto/regulated-fund interests</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rFonts w:ascii="Calibri" w:cs="Calibri" w:eastAsia="Calibri" w:hAnsi="Calibri"/>
                <w:b w:val="false"/>
                <w:bCs w:val="false"/>
                <w:color w:val="000000"/>
                <w:sz w:val="20"/>
                <w:szCs w:val="20"/>
              </w:rPr>
              <w:t xml:space="preserve">Bilateral confirmation from subject under NDA; Cyprus tax residency certificate; check for any CySEC investment-firm authorisation.</w:t>
            </w:r>
          </w:p>
        </w:tc>
      </w:tr>
    </w:tbl>
    <w:p>
      <w:pPr>
        <w:pStyle w:val="Heading1"/>
        <w:spacing w:after="180" w:before="360"/>
      </w:pPr>
      <w:r>
        <w:rPr>
          <w:rFonts w:ascii="Calibri" w:cs="Calibri" w:eastAsia="Calibri" w:hAnsi="Calibri"/>
          <w:b/>
          <w:bCs/>
          <w:color w:val="1F3864"/>
          <w:sz w:val="32"/>
          <w:szCs w:val="32"/>
        </w:rPr>
        <w:t xml:space="preserve">10. Recommended next steps</w:t>
      </w:r>
    </w:p>
    <w:p>
      <w:pPr>
        <w:pStyle w:val="ListParagraph"/>
        <w:numPr>
          <w:ilvl w:val="0"/>
          <w:numId w:val="2"/>
        </w:numPr>
        <w:spacing w:after="80"/>
      </w:pPr>
      <w:r>
        <w:rPr>
          <w:rFonts w:ascii="Calibri" w:cs="Calibri" w:eastAsia="Calibri" w:hAnsi="Calibri"/>
          <w:sz w:val="22"/>
          <w:szCs w:val="22"/>
        </w:rPr>
        <w:t xml:space="preserve">Commission a paid integrity due diligence report against the subject (Sayari, Refinitiv World-Check, LexisNexis Bridger, or equivalent) under appropriate KYC/legal basis; request the report be matched against Belarusian and Russian-transliteration variants.</w:t>
      </w:r>
    </w:p>
    <w:p>
      <w:pPr>
        <w:pStyle w:val="ListParagraph"/>
        <w:numPr>
          <w:ilvl w:val="0"/>
          <w:numId w:val="2"/>
        </w:numPr>
        <w:spacing w:after="80"/>
      </w:pPr>
      <w:r>
        <w:rPr>
          <w:rFonts w:ascii="Calibri" w:cs="Calibri" w:eastAsia="Calibri" w:hAnsi="Calibri"/>
          <w:sz w:val="22"/>
          <w:szCs w:val="22"/>
        </w:rPr>
        <w:t xml:space="preserve">Pull Cyprus DEPC, Lithuania Registrų centras, Poland KRS/CEIDG, Belarus ЕГР and Jersey JFSC official extracts for any entity in which the subject holds a director, secretary, beneficial-owner or signatory role.</w:t>
      </w:r>
    </w:p>
    <w:p>
      <w:pPr>
        <w:pStyle w:val="ListParagraph"/>
        <w:numPr>
          <w:ilvl w:val="0"/>
          <w:numId w:val="2"/>
        </w:numPr>
        <w:spacing w:after="80"/>
      </w:pPr>
      <w:r>
        <w:rPr>
          <w:rFonts w:ascii="Calibri" w:cs="Calibri" w:eastAsia="Calibri" w:hAnsi="Calibri"/>
          <w:sz w:val="22"/>
          <w:szCs w:val="22"/>
        </w:rPr>
        <w:t xml:space="preserve">Obtain from Zubr Capital general counsel: structure chart of the GP and management company; Cyprus tax-residency certificate for the subject; written confirmation of zero Belarus-domiciled exposure in the partner-affected vehicles; description of the Noventiq / Russian Softline separation.</w:t>
      </w:r>
    </w:p>
    <w:p>
      <w:pPr>
        <w:pStyle w:val="ListParagraph"/>
        <w:numPr>
          <w:ilvl w:val="0"/>
          <w:numId w:val="2"/>
        </w:numPr>
        <w:spacing w:after="80"/>
      </w:pPr>
      <w:r>
        <w:rPr>
          <w:rFonts w:ascii="Calibri" w:cs="Calibri" w:eastAsia="Calibri" w:hAnsi="Calibri"/>
          <w:sz w:val="22"/>
          <w:szCs w:val="22"/>
        </w:rPr>
        <w:t xml:space="preserve">Confirm with EBRD and FMO compliance teams (or obtain LP-shareable extracts) the status of their last KYC refresh on Zubr Capital management.</w:t>
      </w:r>
    </w:p>
    <w:p>
      <w:pPr>
        <w:pStyle w:val="ListParagraph"/>
        <w:numPr>
          <w:ilvl w:val="0"/>
          <w:numId w:val="2"/>
        </w:numPr>
        <w:spacing w:after="80"/>
      </w:pPr>
      <w:r>
        <w:rPr>
          <w:rFonts w:ascii="Calibri" w:cs="Calibri" w:eastAsia="Calibri" w:hAnsi="Calibri"/>
          <w:sz w:val="22"/>
          <w:szCs w:val="22"/>
        </w:rPr>
        <w:t xml:space="preserve">If the contemplated transaction is on Cyprus soil or involves Cyprus-regulated activity, run a CySEC authorised-persons check and a Cyprus Bar Association / regulator search for any disciplinary history.</w:t>
      </w:r>
    </w:p>
    <w:p>
      <w:pPr>
        <w:pStyle w:val="ListParagraph"/>
        <w:numPr>
          <w:ilvl w:val="0"/>
          <w:numId w:val="2"/>
        </w:numPr>
        <w:spacing w:after="80"/>
      </w:pPr>
      <w:r>
        <w:rPr>
          <w:rFonts w:ascii="Calibri" w:cs="Calibri" w:eastAsia="Calibri" w:hAnsi="Calibri"/>
          <w:sz w:val="22"/>
          <w:szCs w:val="22"/>
        </w:rPr>
        <w:t xml:space="preserve">Conduct an in-person partner-level integrity interview against the public profile drafted in this memo, and reconcile any discrepancies in writing.</w:t>
      </w:r>
    </w:p>
    <w:p>
      <w:pPr>
        <w:pStyle w:val="Heading1"/>
        <w:spacing w:after="180" w:before="360"/>
      </w:pPr>
      <w:r>
        <w:rPr>
          <w:rFonts w:ascii="Calibri" w:cs="Calibri" w:eastAsia="Calibri" w:hAnsi="Calibri"/>
          <w:b/>
          <w:bCs/>
          <w:color w:val="1F3864"/>
          <w:sz w:val="32"/>
          <w:szCs w:val="32"/>
        </w:rPr>
        <w:t xml:space="preserve">11. Sources consulted (public)</w:t>
      </w:r>
    </w:p>
    <w:p>
      <w:pPr>
        <w:pStyle w:val="ListParagraph"/>
        <w:numPr>
          <w:ilvl w:val="0"/>
          <w:numId w:val="2"/>
        </w:numPr>
        <w:spacing w:after="80"/>
      </w:pPr>
      <w:r>
        <w:rPr>
          <w:rFonts w:ascii="Calibri" w:cs="Calibri" w:eastAsia="Calibri" w:hAnsi="Calibri"/>
          <w:sz w:val="22"/>
          <w:szCs w:val="22"/>
        </w:rPr>
        <w:t xml:space="preserve">Zubr Capital — corporate site (zubrcapital.com), team and portfolio pages; not directly reachable from this environment, content reconstructed from indexed snippets and press.</w:t>
      </w:r>
    </w:p>
    <w:p>
      <w:pPr>
        <w:pStyle w:val="ListParagraph"/>
        <w:numPr>
          <w:ilvl w:val="0"/>
          <w:numId w:val="2"/>
        </w:numPr>
        <w:spacing w:after="80"/>
      </w:pPr>
      <w:r>
        <w:rPr>
          <w:rFonts w:ascii="Calibri" w:cs="Calibri" w:eastAsia="Calibri" w:hAnsi="Calibri"/>
          <w:sz w:val="22"/>
          <w:szCs w:val="22"/>
        </w:rPr>
        <w:t xml:space="preserve">LinkedIn — Siarhei Rabukhin profile, indexed via search snippets.</w:t>
      </w:r>
    </w:p>
    <w:p>
      <w:pPr>
        <w:pStyle w:val="ListParagraph"/>
        <w:numPr>
          <w:ilvl w:val="0"/>
          <w:numId w:val="2"/>
        </w:numPr>
        <w:spacing w:after="80"/>
      </w:pPr>
      <w:r>
        <w:rPr>
          <w:rFonts w:ascii="Calibri" w:cs="Calibri" w:eastAsia="Calibri" w:hAnsi="Calibri"/>
          <w:sz w:val="22"/>
          <w:szCs w:val="22"/>
        </w:rPr>
        <w:t xml:space="preserve">Cyprus Mail — coverage 2023-2026 (Zubr Capital, TechIsland, Cyprus tech ecosystem).</w:t>
      </w:r>
    </w:p>
    <w:p>
      <w:pPr>
        <w:pStyle w:val="ListParagraph"/>
        <w:numPr>
          <w:ilvl w:val="0"/>
          <w:numId w:val="2"/>
        </w:numPr>
        <w:spacing w:after="80"/>
      </w:pPr>
      <w:r>
        <w:rPr>
          <w:rFonts w:ascii="Calibri" w:cs="Calibri" w:eastAsia="Calibri" w:hAnsi="Calibri"/>
          <w:sz w:val="22"/>
          <w:szCs w:val="22"/>
        </w:rPr>
        <w:t xml:space="preserve">EBRD — Project 43908 (Zubr Capital Fund I); EBRD client-due-diligence and FI-categorisation policies.</w:t>
      </w:r>
    </w:p>
    <w:p>
      <w:pPr>
        <w:pStyle w:val="ListParagraph"/>
        <w:numPr>
          <w:ilvl w:val="0"/>
          <w:numId w:val="2"/>
        </w:numPr>
        <w:spacing w:after="80"/>
      </w:pPr>
      <w:r>
        <w:rPr>
          <w:rFonts w:ascii="Calibri" w:cs="Calibri" w:eastAsia="Calibri" w:hAnsi="Calibri"/>
          <w:sz w:val="22"/>
          <w:szCs w:val="22"/>
        </w:rPr>
        <w:t xml:space="preserve">FMO — Project 52870 (Zubr Capital Fund I LP) via ewsdata Rights-in-Development.</w:t>
      </w:r>
    </w:p>
    <w:p>
      <w:pPr>
        <w:pStyle w:val="ListParagraph"/>
        <w:numPr>
          <w:ilvl w:val="0"/>
          <w:numId w:val="2"/>
        </w:numPr>
        <w:spacing w:after="80"/>
      </w:pPr>
      <w:r>
        <w:rPr>
          <w:rFonts w:ascii="Calibri" w:cs="Calibri" w:eastAsia="Calibri" w:hAnsi="Calibri"/>
          <w:sz w:val="22"/>
          <w:szCs w:val="22"/>
        </w:rPr>
        <w:t xml:space="preserve">Belprauda — public profile of Oleg Khusaenov (co-founder).</w:t>
      </w:r>
    </w:p>
    <w:p>
      <w:pPr>
        <w:pStyle w:val="ListParagraph"/>
        <w:numPr>
          <w:ilvl w:val="0"/>
          <w:numId w:val="2"/>
        </w:numPr>
        <w:spacing w:after="80"/>
      </w:pPr>
      <w:r>
        <w:rPr>
          <w:rFonts w:ascii="Calibri" w:cs="Calibri" w:eastAsia="Calibri" w:hAnsi="Calibri"/>
          <w:sz w:val="22"/>
          <w:szCs w:val="22"/>
        </w:rPr>
        <w:t xml:space="preserve">OpenSanctions (via indexed pages) — name screening, disambiguation of 'Sergey Ryabukhin' senator file.</w:t>
      </w:r>
    </w:p>
    <w:p>
      <w:pPr>
        <w:pStyle w:val="ListParagraph"/>
        <w:numPr>
          <w:ilvl w:val="0"/>
          <w:numId w:val="2"/>
        </w:numPr>
        <w:spacing w:after="80"/>
      </w:pPr>
      <w:r>
        <w:rPr>
          <w:rFonts w:ascii="Calibri" w:cs="Calibri" w:eastAsia="Calibri" w:hAnsi="Calibri"/>
          <w:sz w:val="22"/>
          <w:szCs w:val="22"/>
        </w:rPr>
        <w:t xml:space="preserve">Federal Register / OFAC Sanctions List Search — Russia, Belarus, Ukraine programmes.</w:t>
      </w:r>
    </w:p>
    <w:p>
      <w:pPr>
        <w:pStyle w:val="ListParagraph"/>
        <w:numPr>
          <w:ilvl w:val="0"/>
          <w:numId w:val="2"/>
        </w:numPr>
        <w:spacing w:after="80"/>
      </w:pPr>
      <w:r>
        <w:rPr>
          <w:rFonts w:ascii="Calibri" w:cs="Calibri" w:eastAsia="Calibri" w:hAnsi="Calibri"/>
          <w:sz w:val="22"/>
          <w:szCs w:val="22"/>
        </w:rPr>
        <w:t xml:space="preserve">Crunchbase, PitchBook, Tracxn, CBInsights — Zubr Capital portfolio / fund data.</w:t>
      </w:r>
    </w:p>
    <w:p>
      <w:pPr>
        <w:pStyle w:val="ListParagraph"/>
        <w:numPr>
          <w:ilvl w:val="0"/>
          <w:numId w:val="2"/>
        </w:numPr>
        <w:spacing w:after="80"/>
      </w:pPr>
      <w:r>
        <w:rPr>
          <w:rFonts w:ascii="Calibri" w:cs="Calibri" w:eastAsia="Calibri" w:hAnsi="Calibri"/>
          <w:sz w:val="22"/>
          <w:szCs w:val="22"/>
        </w:rPr>
        <w:t xml:space="preserve">Wikipedia — Belarus sanctions, Russian senator Sergey Ryabukhin biographical disambiguation.</w:t>
      </w:r>
    </w:p>
    <w:p>
      <w:pPr>
        <w:pStyle w:val="ListParagraph"/>
        <w:numPr>
          <w:ilvl w:val="0"/>
          <w:numId w:val="2"/>
        </w:numPr>
        <w:spacing w:after="80"/>
      </w:pPr>
      <w:r>
        <w:rPr>
          <w:rFonts w:ascii="Calibri" w:cs="Calibri" w:eastAsia="Calibri" w:hAnsi="Calibri"/>
          <w:sz w:val="22"/>
          <w:szCs w:val="22"/>
        </w:rPr>
        <w:t xml:space="preserve">Sorainen, Unquote, AlphaMaven, IT History Society — deal write-ups (Mila, Targetprocess, MediaCube, Noventiq).</w:t>
      </w:r>
    </w:p>
    <w:p>
      <w:pPr>
        <w:pStyle w:val="Heading1"/>
        <w:spacing w:after="180" w:before="360"/>
      </w:pPr>
      <w:r>
        <w:rPr>
          <w:rFonts w:ascii="Calibri" w:cs="Calibri" w:eastAsia="Calibri" w:hAnsi="Calibri"/>
          <w:b/>
          <w:bCs/>
          <w:color w:val="1F3864"/>
          <w:sz w:val="32"/>
          <w:szCs w:val="32"/>
        </w:rPr>
        <w:t xml:space="preserve">12. Reliance and limitations</w:t>
      </w:r>
    </w:p>
    <w:p>
      <w:pPr>
        <w:spacing w:after="120" w:before="0"/>
      </w:pPr>
      <w:r>
        <w:rPr>
          <w:rFonts w:ascii="Calibri" w:cs="Calibri" w:eastAsia="Calibri" w:hAnsi="Calibri"/>
          <w:sz w:val="22"/>
          <w:szCs w:val="22"/>
        </w:rPr>
        <w:t xml:space="preserve">This memorandum is based exclusively on public-source review conducted on 11 May 2026 and is not a substitute for primary-registry verification or a formal integrity due-diligence report. Several primary sources (opensanctions.org, zubrcapital.com, belprauda.org and corporate registries in CY/LT/PL/BY/Jersey) were not directly reachable from the research environment used and are reconstructed from secondary indexing; findings should be confirmed by independent retrieval before reliance for transactional purposes. No representations are made as to completeness or fitness for purpose. This document is confidential to the addressee.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CONFIDENTIAL  •  DUE DILIGENCE MEMO  •  Siarhei Rabukhin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2026-05-11T10:27:43.420Z</dcterms:created>
  <dcterms:modified xsi:type="dcterms:W3CDTF">2026-05-11T10:27:43.421Z</dcterms:modified>
</cp:coreProperties>
</file>

<file path=docProps/custom.xml><?xml version="1.0" encoding="utf-8"?>
<Properties xmlns="http://schemas.openxmlformats.org/officeDocument/2006/custom-properties" xmlns:vt="http://schemas.openxmlformats.org/officeDocument/2006/docPropsVTypes"/>
</file>