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LEGAL REVIEW MEMO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Klendon GmbH Advisory Agreement — Draft WS_1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Адресат: </w:t>
      </w:r>
      <w:r>
        <w:rPr>
          <w:sz w:val="22"/>
          <w:szCs w:val="22"/>
        </w:rPr>
        <w:t xml:space="preserve">Viktar Dzenisevich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Дата: </w:t>
      </w:r>
      <w:r>
        <w:rPr>
          <w:sz w:val="22"/>
          <w:szCs w:val="22"/>
        </w:rPr>
        <w:t xml:space="preserve">27 мая 2026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Документ: </w:t>
      </w:r>
      <w:r>
        <w:rPr>
          <w:sz w:val="22"/>
          <w:szCs w:val="22"/>
        </w:rPr>
        <w:t xml:space="preserve">MB_Advisory Agreement Draft_WS_1 (1).docx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Заявленная цель клиента: </w:t>
      </w:r>
      <w:r>
        <w:rPr>
          <w:sz w:val="22"/>
          <w:szCs w:val="22"/>
        </w:rPr>
        <w:t xml:space="preserve">сделать интро на заинтересованных людей (инвесторов).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Юрисдикция: </w:t>
      </w:r>
      <w:r>
        <w:rPr>
          <w:sz w:val="22"/>
          <w:szCs w:val="22"/>
        </w:rPr>
        <w:t xml:space="preserve">Германия, место — Berlin (Sec. 9.3).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1. Резюме / Bottom Line</w:t>
      </w:r>
    </w:p>
    <w:p>
      <w:pPr>
        <w:spacing w:after="100"/>
      </w:pPr>
      <w:r>
        <w:rPr>
          <w:sz w:val="22"/>
          <w:szCs w:val="22"/>
        </w:rPr>
        <w:t xml:space="preserve">Договор в текущей редакции — это НЕ «соглашение на интро», а полноценный placement-advisor mandate с обязательствами по подготовке материалов, ведению процесса и сопровождению до closing. Это создаёт три фундаментальные проблемы: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Mismatch скоупа: ты платишь за услуги, которые тебе не нужны (decks, data room, term sheet negotiations).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Финансовая ловушка при выходе: даже если результата нет — минимум €45.000 при расторжении (Sec. 3.2).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Хвост 9–12 месяцев с размытой формулировкой «directly or indirectly» — Klendon сможет претендовать на 2% по любой сделке после расторжения, если докажет «знакомство».</w:t>
      </w:r>
    </w:p>
    <w:p>
      <w:pPr>
        <w:spacing w:after="100"/>
      </w:pPr>
      <w:r>
        <w:rPr>
          <w:sz w:val="22"/>
          <w:szCs w:val="22"/>
        </w:rPr>
        <w:t xml:space="preserve">Если цель действительно ограничивается интро — этот документ переписывать минимум на 60%, либо перейти на принципиально другой шаблон (Finder's Fee Agreement).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2. Суть документа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2.1. Структура соглашения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Стороны: </w:t>
      </w:r>
      <w:r>
        <w:rPr>
          <w:sz w:val="22"/>
          <w:szCs w:val="22"/>
        </w:rPr>
        <w:t xml:space="preserve">Klendon GmbH (Advisor) и [Company — не указана].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Роль: </w:t>
      </w:r>
      <w:r>
        <w:rPr>
          <w:sz w:val="22"/>
          <w:szCs w:val="22"/>
        </w:rPr>
        <w:t xml:space="preserve">Fund Raiser для следующего раунда финансирования; report to CEO.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Бизнес: </w:t>
      </w:r>
      <w:r>
        <w:rPr>
          <w:sz w:val="22"/>
          <w:szCs w:val="22"/>
        </w:rPr>
        <w:t xml:space="preserve">Animation Studio.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Срок: </w:t>
      </w:r>
      <w:r>
        <w:rPr>
          <w:sz w:val="22"/>
          <w:szCs w:val="22"/>
        </w:rPr>
        <w:t xml:space="preserve">6 месяцев Initial Term → автопролонгация на неопределённый с 3-месячным notice.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Право: </w:t>
      </w:r>
      <w:r>
        <w:rPr>
          <w:sz w:val="22"/>
          <w:szCs w:val="22"/>
        </w:rPr>
        <w:t xml:space="preserve">Германия; форум — Берлин.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2.2. Что фактически продаёт Klendon (Appendix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WP1 — Equity Story Improvement: рефреш питча, long deck, one-pager (2 недели после брифа).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WP2 — Preparation of Fundraising Process: VC funnel, term sheet draft, data room (8 недель после подписания).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WP3 — Fundraising Process, Negotiation and Closing: outreach, lead investor, DD support, term sheet negotiation, syndication, closing (срок — сентябрь 2026).</w:t>
      </w:r>
    </w:p>
    <w:p>
      <w:pPr>
        <w:spacing w:after="100"/>
      </w:pPr>
      <w:r>
        <w:rPr>
          <w:sz w:val="22"/>
          <w:szCs w:val="22"/>
        </w:rPr>
        <w:t xml:space="preserve">Это полный mandate placement agent / investment banker уровня pre-Series A, не «список контактов».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2.3. Компенсация (Sec. 3) — главный риск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Success Fee: </w:t>
      </w:r>
      <w:r>
        <w:rPr>
          <w:sz w:val="22"/>
          <w:szCs w:val="22"/>
        </w:rPr>
        <w:t xml:space="preserve">2% от валового объёма привлечённого капитала; платится при closing любой сделки, заключённой во время Term или в течение 12 месяцев после, с инвесторами из Long-list (которым управляет Klendon).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Early Termination Fee: </w:t>
      </w:r>
      <w:r>
        <w:rPr>
          <w:sz w:val="22"/>
          <w:szCs w:val="22"/>
        </w:rPr>
        <w:t xml:space="preserve">если Company расторгает до closing — БОЛЬШЕЕ из 0.5% Target Capital Amount или €45.000 нетто. Объявлено «не штрафом» (попытка обойти § 343 BGB).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Tail clause: </w:t>
      </w:r>
      <w:r>
        <w:rPr>
          <w:sz w:val="22"/>
          <w:szCs w:val="22"/>
        </w:rPr>
        <w:t xml:space="preserve">9 месяцев после расторжения — если Company закроет сделку с любым инвестором, «прямо или косвенно представленным» Klendon, — те же 2%.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Внимание: </w:t>
      </w:r>
      <w:r>
        <w:rPr>
          <w:sz w:val="22"/>
          <w:szCs w:val="22"/>
        </w:rPr>
        <w:t xml:space="preserve">Sec. 3.1 (12-мес. хвост по Long-list) и Sec. 3.3 (9-мес. хвост по «introduced») перекрываются и противоречат друг другу. Это типичный аргумент Advisor'а в споре — выбирать более выгодную формулировку.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3. Матрица рисков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Где в договоре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КРИТИЧЕСКИЙ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Минимальная оплата при расторжении: €45.000 нетто или 0.5% Target Capital — даже если не привлечено ни одного евро.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3.2 (Early Termination Fee)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КРИТИЧЕСКИЙ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Скоуп работы НЕ соответствует цели «только интро». В договоре: pitch deck, equity story, data room, term sheet negotiation, due diligence support — это полноценный advisor / placement agent mandate.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1; Appendix A (Work Packages 1–3)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КРИТИЧЕСКИЙ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Tail-period (хвост) 9 месяцев + 12 месяцев после Term — двойное перекрытие, размытая формулировка «directly or indirectly first introduced, approached, or identified». Любой контакт = success fee.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3.1 и 3.3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🟠 ВЫСОКИЙ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Long-list инвесторов односторонне ведёт и обновляет Advisor — «updated from time to time». Может ретроактивно вписать любого.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3.1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🟠 ВЫСОКИЙ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carve-out по существующим контактам (текущие инвесторы, ангелы, друзья основателей). Все могут попасть под fee.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3.1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🟠 ВЫСОКИЙ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fee 2% без потолка. На раунде €10M = €200k; на €30M = €600k.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3.1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🟠 ВЫСОКИЙ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«Target Capital Amount» нигде не определён, но используется в формуле раннего расторжения. Юридическая дыра — спор гарантирован.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3.2(a)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СРЕДНИЙ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Авто-пролонгация на неопределённый срок, если не уведомить за 30 дней до конца Initial Term. Renewal: 3 месяца notice.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4.1–4.2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СРЕДНИЙ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Терминологическая путаница: используется «Company» и «Principal» как взаимозаменяемые. Создаёт двусмысленность при спорах.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3.1–3.3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СРЕДНИЙ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Конфиденциальность односторонняя — только Advisor обязан держать в тайне. Нет взаимной обязанности от Klendon.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СРЕДНИЙ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Формула «не штраф» (3.2) — попытка обойти § 343 BGB о снижении судом несоразмерной неустойки. Не всегда срабатывает.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3.2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НИЗКИЙ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Передача IP / Work Results — стандартно, формулировка широкая, но в пользу Company.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НИЗКИЙ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Индемнификация по налогам/соц.взносам — стандартно для фрилансера.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Sec. 8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4. Сравнение «договор vs. твоя цель»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 договоре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должно быть для «только интро»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 соглашения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Advisory / Placement Agent mandate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Finder's Fee / Introduction Agreement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Скоуп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Equity story, decks, data room, term sheet, DD, переговоры, closing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Только представление потенциальных инвесторов из согласованного списка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fee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2% от gross proceeds, без потолка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0.5–1% или фикс per intro (€2–5k), с потолком (например €100k)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Early termination fee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Greater of €45k или 0.5% Target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Убрать; либо retainer закрывает прошлый месяц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Tail period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+ 12 месяцев, «direct or indirect»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Макс. 6 месяцев, только по investors из согласованного письменно списка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Long-list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Ведёт Advisor, может обновлять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Письменное согласование Company, no unilateral updates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Carve-out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Существующие инвесторы, ангелы, контакты Company explicit out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мес. → авто на indefinite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3–6 мес., без авто-пролонгации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5. Конкретные рекомендации по правкам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5.1. Что нужно ОБЯЗАТЕЛЬНО изменить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(1) Полностью переписать Sec. 3.2 — Early Termination Fee</w:t>
      </w:r>
    </w:p>
    <w:p>
      <w:pPr>
        <w:spacing w:after="100"/>
      </w:pPr>
      <w:r>
        <w:rPr>
          <w:sz w:val="22"/>
          <w:szCs w:val="22"/>
        </w:rPr>
        <w:t xml:space="preserve">В текущем виде это безусловное обязательство €45k при любом раннем выходе. Варианты: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Удалить полностью. Если работа не привела к closing — компенсации не должно быть, success-fee модель и так это покрывает.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Альтернатива: компенсация только за документально подтверждённые часы / задокументированные deliverables по WP1–WP2, с потолком (€10–15k).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Если оставлять минимум: привязать к фактической работе, не к Target Capital.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(2) Сузить tail — Sec. 3.1 и 3.3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Объединить в одну норму, убрать противоречие 9 vs 12 месяцев.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Максимум 6 месяцев после 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Только в отношении инвесторов из WRITTEN, mutually agreed list (а не unilaterally updated Long-list).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Удалить «directly or indirectly» — оставить «directly introduced by the Advisor in writing to the Company».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(3) Carve-out для существующих контактов</w:t>
      </w:r>
    </w:p>
    <w:p>
      <w:pPr>
        <w:spacing w:after="100"/>
      </w:pPr>
      <w:r>
        <w:rPr>
          <w:sz w:val="22"/>
          <w:szCs w:val="22"/>
        </w:rPr>
        <w:t xml:space="preserve">Добавить в Sec. 3: «Success Fee shall not apply to (i) existing investors and their affiliates as of the Effective Date; (ii) any investor or contact previously known to the Company or first introduced to the Company by a third party other than the Advisor; (iii) any investor on the Excluded Investors List attached as Appendix B».</w:t>
      </w:r>
    </w:p>
    <w:p>
      <w:pPr>
        <w:spacing w:after="100"/>
      </w:pPr>
      <w:r>
        <w:rPr>
          <w:sz w:val="22"/>
          <w:szCs w:val="22"/>
        </w:rPr>
        <w:t xml:space="preserve">К договору прикрепить Appendix B — список твоих текущих контактов / уже ведущихся переговоров.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(4) Определить «Target Capital Amount»</w:t>
      </w:r>
    </w:p>
    <w:p>
      <w:pPr>
        <w:spacing w:after="100"/>
      </w:pPr>
      <w:r>
        <w:rPr>
          <w:sz w:val="22"/>
          <w:szCs w:val="22"/>
        </w:rPr>
        <w:t xml:space="preserve">Сейчас термин используется в Sec. 3.2, но нигде не определён — гарантированная проблема при разногласиях. Зафиксировать конкретную сумму, например €5M, или сослаться на письменный документ, согласованный обеими сторонами.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(5) Потолок Success Fee</w:t>
      </w:r>
    </w:p>
    <w:p>
      <w:pPr>
        <w:spacing w:after="100"/>
      </w:pPr>
      <w:r>
        <w:rPr>
          <w:sz w:val="22"/>
          <w:szCs w:val="22"/>
        </w:rPr>
        <w:t xml:space="preserve">Добавить: «In no event shall the aggregate Success Fee exceed €[100.000 / 150.000]». Без этого 2% от крупного раунда становится непропорциональной выплатой.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(6) Сузить скоуп (Sec. 1 + Appendix A)</w:t>
      </w:r>
    </w:p>
    <w:p>
      <w:pPr>
        <w:spacing w:after="100"/>
      </w:pPr>
      <w:r>
        <w:rPr>
          <w:sz w:val="22"/>
          <w:szCs w:val="22"/>
        </w:rPr>
        <w:t xml:space="preserve">Если цель — только интро, удалить WP1 (equity story / decks), оставить только сокращённый WP2 (VC funnel — без term sheet, без data room) и WP3 в редуцированной форме (только outreach, без negotiations / closing / syndication).</w:t>
      </w:r>
    </w:p>
    <w:p>
      <w:pPr>
        <w:spacing w:after="100"/>
      </w:pPr>
      <w:r>
        <w:rPr>
          <w:sz w:val="22"/>
          <w:szCs w:val="22"/>
        </w:rPr>
        <w:t xml:space="preserve">Альтернатива: переоформить как Finder's Fee Agreement (другой шаблон, на 2–3 страницы).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5.2. Что следует ИСПРАВИТЬ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(7) Авто-пролонгация (Sec. 4.2)</w:t>
      </w:r>
    </w:p>
    <w:p>
      <w:pPr>
        <w:spacing w:after="100"/>
      </w:pPr>
      <w:r>
        <w:rPr>
          <w:sz w:val="22"/>
          <w:szCs w:val="22"/>
        </w:rPr>
        <w:t xml:space="preserve">Заменить на: «The Agreement shall terminate automatically at the end of the Initial Term unless extended by mutual written agreement». Без авто-возобновления.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(8) Терминологическая чистка</w:t>
      </w:r>
    </w:p>
    <w:p>
      <w:pPr>
        <w:spacing w:after="100"/>
      </w:pPr>
      <w:r>
        <w:rPr>
          <w:sz w:val="22"/>
          <w:szCs w:val="22"/>
        </w:rPr>
        <w:t xml:space="preserve">Заменить везде «Principal» на «Company» (или наоборот) для единообразия. Сейчас в Sec. 3 встречаются оба термина.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(9) Mutual confidentiality</w:t>
      </w:r>
    </w:p>
    <w:p>
      <w:pPr>
        <w:spacing w:after="100"/>
      </w:pPr>
      <w:r>
        <w:rPr>
          <w:sz w:val="22"/>
          <w:szCs w:val="22"/>
        </w:rPr>
        <w:t xml:space="preserve">Sec. 7 — добавить взаимную обязанность Klendon защищать информацию о Company. Сейчас она односторонняя.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(10) Запретить уступку Advisor'ом</w:t>
      </w:r>
    </w:p>
    <w:p>
      <w:pPr>
        <w:spacing w:after="100"/>
      </w:pPr>
      <w:r>
        <w:rPr>
          <w:sz w:val="22"/>
          <w:szCs w:val="22"/>
        </w:rPr>
        <w:t xml:space="preserve">Sec. 4.3 описывает уступку только со стороны Company. Добавить: «The Advisor may not assign or delegate any rights or obligations under this Agreement without prior written consent of the Company». Личный mandate, исполнение лично Klendon.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(11) Документирование интро</w:t>
      </w:r>
    </w:p>
    <w:p>
      <w:pPr>
        <w:spacing w:after="100"/>
      </w:pPr>
      <w:r>
        <w:rPr>
          <w:sz w:val="22"/>
          <w:szCs w:val="22"/>
        </w:rPr>
        <w:t xml:space="preserve">Добавить в Sec. 1: «An investor is considered 'introduced' by the Advisor only upon (i) prior written notice to the Company identifying the investor and (ii) the Company's written confirmation of the introduction; oral or indirect contact does not constitute introduction».</w:t>
      </w:r>
    </w:p>
    <w:p>
      <w:pPr>
        <w:pStyle w:val="Heading2"/>
        <w:spacing w:after="120" w:before="220"/>
      </w:pPr>
      <w:r>
        <w:rPr>
          <w:b/>
          <w:bCs/>
          <w:sz w:val="26"/>
          <w:szCs w:val="26"/>
        </w:rPr>
        <w:t xml:space="preserve">5.3. Что можно ОСТАВИТЬ как есть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Sec. 6 (Work Results / IP) — стандартно, в пользу Company. 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Sec. 8 (Indemnification по налогам) — для фрилансера стандартно. 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Sec. 9.3 (German law, Berlin jurisdiction) — приемлемо, если Klendon — немецкая GmbH.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Sec. 9.1 (Amendments in writing / text form) — ОК.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6. Рекомендованный путь вперёд</w:t>
      </w:r>
    </w:p>
    <w:p>
      <w:pPr>
        <w:spacing w:after="100"/>
      </w:pPr>
      <w:r>
        <w:rPr>
          <w:sz w:val="22"/>
          <w:szCs w:val="22"/>
        </w:rPr>
        <w:t xml:space="preserve">Учитывая, что текущая редакция системно не соответствует твоей цели, у тебя три опции: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Опция A — «Минимальная правка»</w:t>
      </w:r>
    </w:p>
    <w:p>
      <w:pPr>
        <w:spacing w:after="100"/>
      </w:pPr>
      <w:r>
        <w:rPr>
          <w:sz w:val="22"/>
          <w:szCs w:val="22"/>
        </w:rPr>
        <w:t xml:space="preserve">Внести правки 1–11 выше как redline-комментарии и отправить на переговоры. Высокий риск, что Klendon откажется — это переписывание ключевой коммерческой модели.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Опция B — «Переход на Finder's Fee Agreement» (РЕКОМЕНДОВАНО)</w:t>
      </w:r>
    </w:p>
    <w:p>
      <w:pPr>
        <w:spacing w:after="100"/>
      </w:pPr>
      <w:r>
        <w:rPr>
          <w:sz w:val="22"/>
          <w:szCs w:val="22"/>
        </w:rPr>
        <w:t xml:space="preserve">Предложить Klendon перейти на другой формат: 2-3-страничное Introduction Agreement с фиксированной success fee 0.5–1% (или фиксированный per-intro fee), без retainer, без early termination, без хвостов больше 6 месяцев. Это честно описывает что ты хочешь, и убирает половину рисков.</w:t>
      </w:r>
    </w:p>
    <w:p>
      <w:pPr>
        <w:spacing w:after="80" w:before="180"/>
      </w:pPr>
      <w:r>
        <w:rPr>
          <w:b/>
          <w:bCs/>
          <w:sz w:val="24"/>
          <w:szCs w:val="24"/>
        </w:rPr>
        <w:t xml:space="preserve">Опция C — «Не подписывать»</w:t>
      </w:r>
    </w:p>
    <w:p>
      <w:pPr>
        <w:spacing w:after="100"/>
      </w:pPr>
      <w:r>
        <w:rPr>
          <w:sz w:val="22"/>
          <w:szCs w:val="22"/>
        </w:rPr>
        <w:t xml:space="preserve">Если Klendon настаивает на нынешнем mandate, а тебе реально нужны только интро — это переплата х5–10. Найти broker / advisor с finder-only моделью или работать через свою сеть.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7. Финальные cautions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 подписывай документ, в котором поле «Company» пустое. Уточни и впиши юридическое название.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Перед подписанием — запроси у Klendon письменное определение «Target Capital Amount».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Зафиксируй initial Long-list письменно, в Appendix; запрети unilateral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Договор немецкий — § 343 BGB позволяет суду снизить чрезмерную неустойку, но не отменяет её автоматически. Полагаться на это в споре дорого.</w:t>
      </w:r>
    </w:p>
    <w:p>
      <w:pPr>
        <w:spacing w:after="100" w:before="300"/>
        <w:jc w:val="center"/>
      </w:pPr>
      <w:r>
        <w:rPr>
          <w:i/>
          <w:iCs/>
          <w:color w:val="808080"/>
          <w:sz w:val="20"/>
          <w:szCs w:val="20"/>
        </w:rPr>
        <w:t xml:space="preserve">— Конец memo —</w:t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Этот документ не является юридической консультацией. Перед подписанием рекомендуется обзор немецким адвокатом, специализирующимся на корпоративном праве / Kapitalmarktrecht.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Review — Klendon Advisory Agreement</dc:title>
  <dc:creator>Viktar Dzenisevich</dc:creator>
  <cp:lastModifiedBy>Un-named</cp:lastModifiedBy>
  <cp:revision>1</cp:revision>
  <dcterms:created xsi:type="dcterms:W3CDTF">2026-05-27T08:17:22.232Z</dcterms:created>
  <dcterms:modified xsi:type="dcterms:W3CDTF">2026-05-27T08:17:22.232Z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