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E9AA9" w14:textId="77777777" w:rsidR="00495E4B" w:rsidRPr="00495E4B" w:rsidRDefault="00495E4B" w:rsidP="001F5CB1">
      <w:pPr>
        <w:pStyle w:val="Heading2"/>
        <w:spacing w:line="360" w:lineRule="auto"/>
        <w:rPr>
          <w:rFonts w:cs="Times New Roman"/>
          <w:szCs w:val="24"/>
        </w:rPr>
      </w:pPr>
      <w:r w:rsidRPr="00495E4B">
        <w:rPr>
          <w:rFonts w:cs="Times New Roman"/>
          <w:szCs w:val="24"/>
        </w:rPr>
        <w:t xml:space="preserve">3.1 </w:t>
      </w:r>
      <w:proofErr w:type="spellStart"/>
      <w:r w:rsidRPr="00495E4B">
        <w:rPr>
          <w:rFonts w:cs="Times New Roman"/>
          <w:szCs w:val="24"/>
        </w:rPr>
        <w:t>Pengertian</w:t>
      </w:r>
      <w:proofErr w:type="spellEnd"/>
      <w:r w:rsidRPr="00495E4B">
        <w:rPr>
          <w:rFonts w:cs="Times New Roman"/>
          <w:szCs w:val="24"/>
        </w:rPr>
        <w:t xml:space="preserve"> Dana Bos</w:t>
      </w:r>
    </w:p>
    <w:p w14:paraId="29BFEFBC" w14:textId="77777777" w:rsidR="00495E4B" w:rsidRPr="00495E4B" w:rsidRDefault="00495E4B" w:rsidP="001F5CB1">
      <w:pPr>
        <w:spacing w:line="360" w:lineRule="auto"/>
        <w:ind w:left="-284"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Menteri NOMOR 16 TAHUN 2021, Dana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mendanai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belanja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nonpersonalia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satuan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menengah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pelaksana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belajar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dimungkinkan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mendanai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perundang-undangan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Adapun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dialokasikan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belanja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satuan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menengah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Dana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Pusat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dialokasikan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satuan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menengah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dinilai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berkinerja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menyelenggarakan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Kementerian. Dana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Afirmasi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Afirmasi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pusat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dialokasikan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satuan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menengah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Daerah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Kementerian.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prinsip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35CBB77" w14:textId="48242170" w:rsidR="00495E4B" w:rsidRPr="00495E4B" w:rsidRDefault="008F419C" w:rsidP="001F5CB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leksibilitas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dikelola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</w:p>
    <w:p w14:paraId="57909899" w14:textId="0DC9850A" w:rsidR="00495E4B" w:rsidRPr="00495E4B" w:rsidRDefault="008F419C" w:rsidP="001F5CB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fektivitas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diupayakan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guna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</w:p>
    <w:p w14:paraId="613B13A6" w14:textId="5E2ACF61" w:rsidR="00495E4B" w:rsidRPr="00495E4B" w:rsidRDefault="008F419C" w:rsidP="001F5CB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fisiensi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diupayakan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belajar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siswa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seminimal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optimal</w:t>
      </w:r>
    </w:p>
    <w:p w14:paraId="326DC0FD" w14:textId="033DAB3F" w:rsidR="00495E4B" w:rsidRPr="00495E4B" w:rsidRDefault="008F419C" w:rsidP="001F5CB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kuntabilitas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dipertanggungjawabkan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="00495E4B"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="00495E4B" w:rsidRPr="00495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5E4B" w:rsidRPr="00495E4B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="00495E4B"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95E4B"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495E4B"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</w:p>
    <w:p w14:paraId="37918327" w14:textId="651C41F4" w:rsidR="00495E4B" w:rsidRPr="00495E4B" w:rsidRDefault="008F419C" w:rsidP="001F5CB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495E4B" w:rsidRPr="00495E4B">
        <w:rPr>
          <w:rFonts w:ascii="Times New Roman" w:hAnsi="Times New Roman" w:cs="Times New Roman"/>
          <w:sz w:val="24"/>
          <w:szCs w:val="24"/>
        </w:rPr>
        <w:t>ransparansi</w:t>
      </w:r>
      <w:proofErr w:type="spellEnd"/>
      <w:r w:rsidR="00495E4B"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95E4B"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495E4B" w:rsidRPr="00495E4B">
        <w:rPr>
          <w:rFonts w:ascii="Times New Roman" w:hAnsi="Times New Roman" w:cs="Times New Roman"/>
          <w:sz w:val="24"/>
          <w:szCs w:val="24"/>
        </w:rPr>
        <w:t xml:space="preserve"> Dana BOS </w:t>
      </w:r>
      <w:proofErr w:type="spellStart"/>
      <w:r w:rsidR="00495E4B" w:rsidRPr="00495E4B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="00495E4B"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495E4B"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95E4B"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495E4B" w:rsidRPr="00495E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95E4B" w:rsidRPr="00495E4B">
        <w:rPr>
          <w:rFonts w:ascii="Times New Roman" w:hAnsi="Times New Roman" w:cs="Times New Roman"/>
          <w:sz w:val="24"/>
          <w:szCs w:val="24"/>
        </w:rPr>
        <w:t>mengakomodir</w:t>
      </w:r>
      <w:proofErr w:type="spellEnd"/>
      <w:r w:rsidR="00495E4B"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sz w:val="24"/>
          <w:szCs w:val="24"/>
        </w:rPr>
        <w:t>aspirasi</w:t>
      </w:r>
      <w:proofErr w:type="spellEnd"/>
      <w:r w:rsidR="00495E4B"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="00495E4B"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495E4B"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95E4B"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95E4B"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495E4B"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4B" w:rsidRPr="00495E4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495E4B" w:rsidRPr="00495E4B">
        <w:rPr>
          <w:rFonts w:ascii="Times New Roman" w:hAnsi="Times New Roman" w:cs="Times New Roman"/>
          <w:sz w:val="24"/>
          <w:szCs w:val="24"/>
        </w:rPr>
        <w:t>.</w:t>
      </w:r>
    </w:p>
    <w:p w14:paraId="64612F74" w14:textId="77777777" w:rsidR="00495E4B" w:rsidRPr="00495E4B" w:rsidRDefault="00495E4B" w:rsidP="001F5CB1">
      <w:pPr>
        <w:spacing w:line="360" w:lineRule="auto"/>
        <w:ind w:lef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666F7F" w14:textId="77777777" w:rsidR="00495E4B" w:rsidRPr="00495E4B" w:rsidRDefault="00495E4B" w:rsidP="001F5CB1">
      <w:pPr>
        <w:pStyle w:val="Heading2"/>
        <w:spacing w:line="360" w:lineRule="auto"/>
        <w:rPr>
          <w:rFonts w:cs="Times New Roman"/>
          <w:color w:val="000000" w:themeColor="text1"/>
          <w:szCs w:val="24"/>
        </w:rPr>
      </w:pPr>
      <w:r w:rsidRPr="00495E4B">
        <w:rPr>
          <w:rFonts w:cs="Times New Roman"/>
          <w:szCs w:val="24"/>
        </w:rPr>
        <w:t>3.2 Sejarah Dana Bos</w:t>
      </w:r>
    </w:p>
    <w:p w14:paraId="17D04CBB" w14:textId="77777777" w:rsidR="00495E4B" w:rsidRPr="00495E4B" w:rsidRDefault="00495E4B" w:rsidP="001F5CB1">
      <w:pPr>
        <w:spacing w:line="360" w:lineRule="auto"/>
        <w:ind w:left="-284"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Juli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2005 (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Dirjennya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Prof.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Suyanto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Ph.D.),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diluncurkan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Awalnya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dianggarkan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pusat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dikelola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pusat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Prosesnya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lancar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walaupun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pelanggaran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penyimpangan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dilalukan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Proses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belajar-mengajar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normal.</w:t>
      </w:r>
    </w:p>
    <w:p w14:paraId="2D1C637F" w14:textId="77777777" w:rsidR="00495E4B" w:rsidRPr="00495E4B" w:rsidRDefault="00495E4B" w:rsidP="001F5CB1">
      <w:pPr>
        <w:spacing w:line="360" w:lineRule="auto"/>
        <w:ind w:left="-284"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daerah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komitmen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ikut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BOSDA (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Daerah)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anggarannya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diambilkan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APBD.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Dampaknya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penerima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BOSDA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sudut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pandang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SPM.</w:t>
      </w:r>
    </w:p>
    <w:p w14:paraId="3521D681" w14:textId="77777777" w:rsidR="00495E4B" w:rsidRPr="00495E4B" w:rsidRDefault="00495E4B" w:rsidP="001F5CB1">
      <w:pPr>
        <w:spacing w:line="360" w:lineRule="auto"/>
        <w:ind w:left="-284"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Antara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anggaran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selamanya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berkorelasi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positif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BOS,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belanja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495E4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quality spending</w:t>
      </w: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Belanja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transparan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prioritas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integritas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PBM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peningkatan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2EE4C2" w14:textId="77777777" w:rsidR="00495E4B" w:rsidRPr="00495E4B" w:rsidRDefault="00495E4B" w:rsidP="001F5CB1">
      <w:pPr>
        <w:spacing w:line="360" w:lineRule="auto"/>
        <w:ind w:left="-284"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Mekanisme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berubah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2011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pertimbangan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menyeimbangkan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postur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anggaran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asas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desentralisasi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495E4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money follow function</w:t>
      </w: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Dana BOS pun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dimasukkan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daerah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anggaran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pengeluaran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daerah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agak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rumit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prosedurnya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panjang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birokrasinya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bertingkat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dikelola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kementerian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Kementerian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bertanggungjawab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penyaluran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anggaran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daerah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Kementerian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Negeri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bertanggungjawab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pertanggungjawaban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anggaran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Kementerian Pendidikan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bertanggungjawab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peruntukan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anggaran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0AD4C6" w14:textId="77777777" w:rsidR="00495E4B" w:rsidRPr="00495E4B" w:rsidRDefault="00495E4B" w:rsidP="001F5CB1">
      <w:pPr>
        <w:spacing w:line="360" w:lineRule="auto"/>
        <w:ind w:left="-284"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diakui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sulit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sekali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anggaran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macet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terlambat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diterima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Akibatnya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berhutang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ketiga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celaka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kalau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berhutangnya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rentenir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bunga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29171CA" w14:textId="322ED944" w:rsidR="00495E4B" w:rsidRPr="00495E4B" w:rsidRDefault="00495E4B" w:rsidP="001F5CB1">
      <w:pPr>
        <w:spacing w:line="360" w:lineRule="auto"/>
        <w:ind w:left="-284"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2020, di mana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disalurkan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1F5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RKUN</w:t>
      </w: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1F5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5CB1">
        <w:rPr>
          <w:rFonts w:ascii="Times New Roman" w:hAnsi="Times New Roman" w:cs="Times New Roman"/>
          <w:color w:val="000000" w:themeColor="text1"/>
          <w:sz w:val="24"/>
          <w:szCs w:val="24"/>
        </w:rPr>
        <w:t>Rekening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Tentu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terobosan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memotong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birokrasi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tadinya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rumit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Semoga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mekanisme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hambatan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penyaluran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CEC4A9" w14:textId="77777777" w:rsidR="001F5CB1" w:rsidRDefault="00495E4B" w:rsidP="001F5CB1">
      <w:pPr>
        <w:spacing w:line="360" w:lineRule="auto"/>
        <w:ind w:left="-284"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Harapannya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terobosan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bagus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diikuti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tata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kelola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Caranya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perencanaan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penganggaran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belanja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dikontrol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transparan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belanjanya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terjaga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C6CCB1" w14:textId="034E8847" w:rsidR="00495E4B" w:rsidRPr="00495E4B" w:rsidRDefault="00495E4B" w:rsidP="001F5CB1">
      <w:pPr>
        <w:spacing w:line="360" w:lineRule="auto"/>
        <w:ind w:left="-284"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SIPLAH (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Pengadaan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Kemdikbud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sejak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2019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embrio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memperbaiki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tata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kelola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anggaran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Sosialisasi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tata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kelola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transparan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akuntabel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digencarkan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A7534D" w14:textId="77777777" w:rsidR="00495E4B" w:rsidRPr="00495E4B" w:rsidRDefault="00495E4B" w:rsidP="001F5CB1">
      <w:pPr>
        <w:spacing w:line="360" w:lineRule="auto"/>
        <w:ind w:left="-284"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Tentu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bagus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rencana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anggaran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pelaporan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terintegrasi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dikontrol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dianalisis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cermat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punya Big Data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cermat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menganalisis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komponen-komponen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memerlukan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anggaran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juga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sejauh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berkorelasi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5E33A93B" w14:textId="77777777" w:rsidR="00495E4B" w:rsidRPr="00495E4B" w:rsidRDefault="00495E4B" w:rsidP="001F5CB1">
      <w:pPr>
        <w:pStyle w:val="Heading2"/>
        <w:spacing w:line="360" w:lineRule="auto"/>
        <w:rPr>
          <w:rFonts w:cs="Times New Roman"/>
          <w:color w:val="000000" w:themeColor="text1"/>
          <w:szCs w:val="24"/>
        </w:rPr>
      </w:pPr>
      <w:r w:rsidRPr="00495E4B">
        <w:rPr>
          <w:rFonts w:cs="Times New Roman"/>
          <w:szCs w:val="24"/>
        </w:rPr>
        <w:t xml:space="preserve">3.3 </w:t>
      </w:r>
      <w:proofErr w:type="spellStart"/>
      <w:r w:rsidRPr="00495E4B">
        <w:rPr>
          <w:rFonts w:cs="Times New Roman"/>
          <w:szCs w:val="24"/>
        </w:rPr>
        <w:t>Penerima</w:t>
      </w:r>
      <w:proofErr w:type="spellEnd"/>
      <w:r w:rsidRPr="00495E4B">
        <w:rPr>
          <w:rFonts w:cs="Times New Roman"/>
          <w:szCs w:val="24"/>
        </w:rPr>
        <w:t xml:space="preserve"> Dana Bos</w:t>
      </w:r>
    </w:p>
    <w:p w14:paraId="7EF02ACD" w14:textId="77777777" w:rsidR="00495E4B" w:rsidRPr="00495E4B" w:rsidRDefault="00495E4B" w:rsidP="001F5CB1">
      <w:pPr>
        <w:spacing w:line="360" w:lineRule="auto"/>
        <w:ind w:left="-284"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penerima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EA6E9AA" w14:textId="77777777" w:rsidR="00495E4B" w:rsidRPr="00495E4B" w:rsidRDefault="00495E4B" w:rsidP="001F5C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SD (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Dasar)</w:t>
      </w:r>
    </w:p>
    <w:p w14:paraId="445F0DE0" w14:textId="77777777" w:rsidR="00495E4B" w:rsidRPr="00495E4B" w:rsidRDefault="00495E4B" w:rsidP="001F5C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SDLB (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Dasar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DA43287" w14:textId="77777777" w:rsidR="00495E4B" w:rsidRPr="00495E4B" w:rsidRDefault="00495E4B" w:rsidP="001F5C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SMP (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Menegah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F332AF3" w14:textId="77777777" w:rsidR="00495E4B" w:rsidRPr="00495E4B" w:rsidRDefault="00495E4B" w:rsidP="001F5C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SMPLB (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Menengah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903982D" w14:textId="77777777" w:rsidR="00495E4B" w:rsidRPr="00495E4B" w:rsidRDefault="00495E4B" w:rsidP="001F5C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SMA (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Menengah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9F1BF67" w14:textId="77777777" w:rsidR="00495E4B" w:rsidRPr="00495E4B" w:rsidRDefault="00495E4B" w:rsidP="001F5C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SMALB (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Menengah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A48B015" w14:textId="77777777" w:rsidR="00495E4B" w:rsidRPr="00495E4B" w:rsidRDefault="00495E4B" w:rsidP="001F5C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SLB (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197CB0E" w14:textId="77777777" w:rsidR="00495E4B" w:rsidRPr="00495E4B" w:rsidRDefault="00495E4B" w:rsidP="001F5C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SMK (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Menengah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Kejuruan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D5C5720" w14:textId="77777777" w:rsidR="004D7BFF" w:rsidRDefault="00495E4B" w:rsidP="004D7BFF">
      <w:pPr>
        <w:spacing w:line="360" w:lineRule="auto"/>
        <w:ind w:left="-284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3E5B96" w14:textId="77777777" w:rsidR="004D7BFF" w:rsidRDefault="00495E4B" w:rsidP="004D7BF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BF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pemutakhiran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Dapodik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Agustus</w:t>
      </w:r>
      <w:proofErr w:type="spellEnd"/>
    </w:p>
    <w:p w14:paraId="06508F59" w14:textId="77777777" w:rsidR="004D7BFF" w:rsidRDefault="00495E4B" w:rsidP="004D7BF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BF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terdata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Dapodik</w:t>
      </w:r>
      <w:proofErr w:type="spellEnd"/>
    </w:p>
    <w:p w14:paraId="61426F18" w14:textId="77777777" w:rsidR="004D7BFF" w:rsidRDefault="00495E4B" w:rsidP="004D7BF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BF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terdata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Dapodik</w:t>
      </w:r>
      <w:proofErr w:type="spellEnd"/>
    </w:p>
    <w:p w14:paraId="5DCCB528" w14:textId="77777777" w:rsidR="004D7BFF" w:rsidRDefault="00495E4B" w:rsidP="004D7BF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BF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60 (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14:paraId="4630FFC5" w14:textId="219EA27F" w:rsidR="00495E4B" w:rsidRPr="004D7BFF" w:rsidRDefault="00495E4B" w:rsidP="004D7BF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B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F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D7BFF">
        <w:rPr>
          <w:rFonts w:ascii="Times New Roman" w:hAnsi="Times New Roman" w:cs="Times New Roman"/>
          <w:sz w:val="24"/>
          <w:szCs w:val="24"/>
        </w:rPr>
        <w:t>.</w:t>
      </w:r>
    </w:p>
    <w:p w14:paraId="60D0FB83" w14:textId="77777777" w:rsidR="00495E4B" w:rsidRPr="00495E4B" w:rsidRDefault="00495E4B" w:rsidP="001F5CB1">
      <w:pPr>
        <w:spacing w:line="360" w:lineRule="auto"/>
        <w:ind w:left="-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4C4DAD5A" w14:textId="77777777" w:rsidR="00495E4B" w:rsidRPr="00495E4B" w:rsidRDefault="00495E4B" w:rsidP="001F5CB1">
      <w:pPr>
        <w:spacing w:line="360" w:lineRule="auto"/>
        <w:ind w:left="-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5B002A96" w14:textId="77777777" w:rsidR="00495E4B" w:rsidRPr="00495E4B" w:rsidRDefault="00495E4B" w:rsidP="001F5CB1">
      <w:pPr>
        <w:spacing w:line="360" w:lineRule="auto"/>
        <w:ind w:left="-284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Adapun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pengecualian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poin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diatas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:</w:t>
      </w:r>
    </w:p>
    <w:p w14:paraId="306EB4FA" w14:textId="77777777" w:rsidR="00495E4B" w:rsidRPr="00495E4B" w:rsidRDefault="00495E4B" w:rsidP="001F5C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Sekolah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Terintegrasi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, SDLB, SMPLB, SMALB, dan SLB;</w:t>
      </w:r>
    </w:p>
    <w:p w14:paraId="2221B7A9" w14:textId="77777777" w:rsidR="00495E4B" w:rsidRPr="00495E4B" w:rsidRDefault="00495E4B" w:rsidP="001F5C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sekolah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berada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Daerah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Khusus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ditetapkan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oleh Kementerian; dan </w:t>
      </w:r>
    </w:p>
    <w:p w14:paraId="028F83E6" w14:textId="77777777" w:rsidR="00495E4B" w:rsidRPr="00495E4B" w:rsidRDefault="00495E4B" w:rsidP="001F5C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sekolah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diselenggarakan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oleh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Pemerintah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Daerah yang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berada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wilayah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kondisi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kepadatan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penduduk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rendah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geografis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digabungkan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sekolah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lain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56C3B631" w14:textId="77777777" w:rsidR="00495E4B" w:rsidRPr="00495E4B" w:rsidRDefault="00495E4B" w:rsidP="001F5CB1">
      <w:pPr>
        <w:spacing w:line="360" w:lineRule="auto"/>
        <w:ind w:left="-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2D315304" w14:textId="77777777" w:rsidR="00495E4B" w:rsidRPr="00495E4B" w:rsidRDefault="00495E4B" w:rsidP="001F5CB1">
      <w:pPr>
        <w:pStyle w:val="Heading2"/>
        <w:spacing w:line="360" w:lineRule="auto"/>
        <w:rPr>
          <w:rFonts w:eastAsia="Times New Roman" w:cs="Times New Roman"/>
          <w:szCs w:val="24"/>
          <w:lang w:eastAsia="en-ID"/>
        </w:rPr>
      </w:pPr>
      <w:r w:rsidRPr="00495E4B">
        <w:rPr>
          <w:rFonts w:eastAsia="Times New Roman" w:cs="Times New Roman"/>
          <w:szCs w:val="24"/>
          <w:lang w:eastAsia="en-ID"/>
        </w:rPr>
        <w:t xml:space="preserve">3.4 </w:t>
      </w:r>
      <w:proofErr w:type="spellStart"/>
      <w:r w:rsidRPr="00495E4B">
        <w:rPr>
          <w:rFonts w:eastAsia="Times New Roman" w:cs="Times New Roman"/>
          <w:szCs w:val="24"/>
          <w:lang w:eastAsia="en-ID"/>
        </w:rPr>
        <w:t>Alokasi</w:t>
      </w:r>
      <w:proofErr w:type="spellEnd"/>
      <w:r w:rsidRPr="00495E4B">
        <w:rPr>
          <w:rFonts w:eastAsia="Times New Roman" w:cs="Times New Roman"/>
          <w:szCs w:val="24"/>
          <w:lang w:eastAsia="en-ID"/>
        </w:rPr>
        <w:t xml:space="preserve"> Dana Bos </w:t>
      </w:r>
    </w:p>
    <w:p w14:paraId="584A896F" w14:textId="6301EAC5" w:rsidR="00495E4B" w:rsidRPr="00495E4B" w:rsidRDefault="00495E4B" w:rsidP="004D7BFF">
      <w:pPr>
        <w:spacing w:line="360" w:lineRule="auto"/>
        <w:ind w:left="-284"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Besaran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alokasi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Dana BOS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Reguler</w:t>
      </w:r>
      <w:proofErr w:type="spellEnd"/>
      <w:r w:rsidR="001F5C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1F5C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mulai</w:t>
      </w:r>
      <w:proofErr w:type="spellEnd"/>
      <w:r w:rsidR="001F5C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1F5C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tahun</w:t>
      </w:r>
      <w:proofErr w:type="spellEnd"/>
      <w:r w:rsidR="001F5C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2020</w:t>
      </w:r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dihitung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berdasarkan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besaran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biaya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masing-masing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daerah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dikalikan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jumlah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Peserta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Didik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Nilai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setiap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sekolah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berbeda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antar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daerah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karena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dihitung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berdasarkan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Indeks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Kemahalan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Konstruksi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(IKK) dan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indeks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peserta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didik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(IPD) di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setiap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wilayah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kabupaten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/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kota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Berikut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rician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besaran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biaya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masing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masing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tingkatan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sekolah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:</w:t>
      </w:r>
    </w:p>
    <w:p w14:paraId="3E873E04" w14:textId="77777777" w:rsidR="00495E4B" w:rsidRPr="00495E4B" w:rsidRDefault="00495E4B" w:rsidP="001F5CB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Sekolah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Dasar (SD),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Rp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900.000 –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Rp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1.960.000 (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kenaikan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rata-rata 12,19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persen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</w:t>
      </w:r>
    </w:p>
    <w:p w14:paraId="6562FF5C" w14:textId="77777777" w:rsidR="00495E4B" w:rsidRPr="00495E4B" w:rsidRDefault="00495E4B" w:rsidP="001F5CB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Sekolah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Menengah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Pertama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(SMP),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Rp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1.100.000 –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Rp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2.480.000 (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kenaikan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rata-rata 13,23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persen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</w:t>
      </w:r>
    </w:p>
    <w:p w14:paraId="21EB5972" w14:textId="77777777" w:rsidR="00495E4B" w:rsidRPr="00495E4B" w:rsidRDefault="00495E4B" w:rsidP="001F5CB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Sekolah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Menengah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Atas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(SMA),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Rp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1.500.000 –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Rp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3.470.000 (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kenaikan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rata-rata 13,68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persen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</w:t>
      </w:r>
    </w:p>
    <w:p w14:paraId="5CD328E7" w14:textId="77777777" w:rsidR="00495E4B" w:rsidRPr="00495E4B" w:rsidRDefault="00495E4B" w:rsidP="001F5CB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Sekolah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Menengah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Kejuruan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(SMK),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Rp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1.600.000 –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Rp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3.720.000 (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kenaikan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rata-rata 13,61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persen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</w:t>
      </w:r>
    </w:p>
    <w:p w14:paraId="2BD5127E" w14:textId="77777777" w:rsidR="00495E4B" w:rsidRPr="00495E4B" w:rsidRDefault="00495E4B" w:rsidP="001F5CB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Sekolah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Luar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Biasa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(SLB),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Rp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3.500.000 –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Rp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7.940.000 (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kenaikan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rata-rata 13,18 </w:t>
      </w:r>
      <w:proofErr w:type="spellStart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persen</w:t>
      </w:r>
      <w:proofErr w:type="spellEnd"/>
      <w:r w:rsidRPr="00495E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).</w:t>
      </w:r>
    </w:p>
    <w:p w14:paraId="283326D2" w14:textId="77777777" w:rsidR="00495E4B" w:rsidRPr="00495E4B" w:rsidRDefault="00495E4B" w:rsidP="001F5CB1">
      <w:pPr>
        <w:pStyle w:val="Heading2"/>
        <w:spacing w:line="360" w:lineRule="auto"/>
        <w:rPr>
          <w:rFonts w:cs="Times New Roman"/>
          <w:szCs w:val="24"/>
        </w:rPr>
      </w:pPr>
      <w:r w:rsidRPr="00495E4B">
        <w:rPr>
          <w:rFonts w:cs="Times New Roman"/>
          <w:szCs w:val="24"/>
        </w:rPr>
        <w:t xml:space="preserve">3.5 </w:t>
      </w:r>
      <w:proofErr w:type="spellStart"/>
      <w:r w:rsidRPr="00495E4B">
        <w:rPr>
          <w:rFonts w:cs="Times New Roman"/>
          <w:szCs w:val="24"/>
        </w:rPr>
        <w:t>Penyaluran</w:t>
      </w:r>
      <w:proofErr w:type="spellEnd"/>
      <w:r w:rsidRPr="00495E4B">
        <w:rPr>
          <w:rFonts w:cs="Times New Roman"/>
          <w:szCs w:val="24"/>
        </w:rPr>
        <w:t xml:space="preserve"> Dana Bos</w:t>
      </w:r>
    </w:p>
    <w:p w14:paraId="4D64FEDC" w14:textId="77777777" w:rsidR="00495E4B" w:rsidRPr="00495E4B" w:rsidRDefault="00495E4B" w:rsidP="004D7BFF">
      <w:pPr>
        <w:spacing w:line="360" w:lineRule="auto"/>
        <w:ind w:left="-284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921D15" w14:textId="77777777" w:rsidR="00495E4B" w:rsidRPr="00495E4B" w:rsidRDefault="00495E4B" w:rsidP="001F5CB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727C55" w14:textId="77777777" w:rsidR="00495E4B" w:rsidRPr="00495E4B" w:rsidRDefault="00495E4B" w:rsidP="001F5CB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III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; dan </w:t>
      </w:r>
    </w:p>
    <w:p w14:paraId="29188A38" w14:textId="77777777" w:rsidR="00495E4B" w:rsidRPr="00495E4B" w:rsidRDefault="00495E4B" w:rsidP="001F5CB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III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95E4B">
        <w:rPr>
          <w:rFonts w:ascii="Times New Roman" w:hAnsi="Times New Roman" w:cs="Times New Roman"/>
          <w:sz w:val="24"/>
          <w:szCs w:val="24"/>
        </w:rPr>
        <w:t>.</w:t>
      </w:r>
    </w:p>
    <w:p w14:paraId="2D7B48CE" w14:textId="77777777" w:rsidR="00495E4B" w:rsidRPr="00495E4B" w:rsidRDefault="00495E4B" w:rsidP="001F5CB1">
      <w:pPr>
        <w:pStyle w:val="Heading2"/>
        <w:spacing w:line="360" w:lineRule="auto"/>
        <w:rPr>
          <w:rFonts w:cs="Times New Roman"/>
          <w:color w:val="000000" w:themeColor="text1"/>
          <w:szCs w:val="24"/>
        </w:rPr>
      </w:pPr>
      <w:r w:rsidRPr="00495E4B">
        <w:rPr>
          <w:rFonts w:cs="Times New Roman"/>
          <w:szCs w:val="24"/>
        </w:rPr>
        <w:t xml:space="preserve">3.5 Tata Cara </w:t>
      </w:r>
      <w:proofErr w:type="spellStart"/>
      <w:r w:rsidRPr="00495E4B">
        <w:rPr>
          <w:rFonts w:cs="Times New Roman"/>
          <w:szCs w:val="24"/>
        </w:rPr>
        <w:t>Pengelolaan</w:t>
      </w:r>
      <w:proofErr w:type="spellEnd"/>
    </w:p>
    <w:p w14:paraId="6DA4E518" w14:textId="77777777" w:rsidR="00495E4B" w:rsidRPr="00495E4B" w:rsidRDefault="00495E4B" w:rsidP="004D7BFF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Tata Cara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9F5B6E3" w14:textId="77777777" w:rsidR="00495E4B" w:rsidRPr="00495E4B" w:rsidRDefault="00495E4B" w:rsidP="001F5CB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dikelola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menerapkan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prinsip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kewenangan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perencanaan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pengawasan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761555" w14:textId="77777777" w:rsidR="00495E4B" w:rsidRPr="00495E4B" w:rsidRDefault="00495E4B" w:rsidP="001F5CB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Perencanaan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mengacu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evaluasdiri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1D22D0" w14:textId="77777777" w:rsidR="00495E4B" w:rsidRPr="00495E4B" w:rsidRDefault="00495E4B" w:rsidP="001F5CB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kewenangan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prioritas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memperhatikan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prinsip-prinsip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CD639A" w14:textId="77777777" w:rsidR="00495E4B" w:rsidRPr="00495E4B" w:rsidRDefault="00495E4B" w:rsidP="001F5CB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kepentingan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peningkatan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dana.</w:t>
      </w:r>
    </w:p>
    <w:p w14:paraId="4972BCD9" w14:textId="77777777" w:rsidR="00495E4B" w:rsidRPr="00495E4B" w:rsidRDefault="00495E4B" w:rsidP="001F5CB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didasarkan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kesepakatan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bersama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guru,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Komite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C3A99F" w14:textId="77777777" w:rsidR="00495E4B" w:rsidRPr="00495E4B" w:rsidRDefault="00495E4B" w:rsidP="001F5CB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kesepakatan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sebagaimana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dimaksud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dituangkan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tertulis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berita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rapat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ditandatangani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rapat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A4F1BF7" w14:textId="77777777" w:rsidR="00495E4B" w:rsidRPr="00495E4B" w:rsidRDefault="00495E4B" w:rsidP="001F5CB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Kesepakatan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sebagaimana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dimaksud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didasarkan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skala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prioritas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berorientasi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peningkatan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belajar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F0BF74" w14:textId="77777777" w:rsidR="00495E4B" w:rsidRPr="00495E4B" w:rsidRDefault="00495E4B" w:rsidP="001F5CB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berbentuk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terbuka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melibatkan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pengelola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terbuka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penanggung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dijabat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kepala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induk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jenjangnya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ED8E1F" w14:textId="77777777" w:rsidR="00495E4B" w:rsidRPr="00495E4B" w:rsidRDefault="00495E4B" w:rsidP="001F5CB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97211F5" w14:textId="77777777" w:rsidR="00495E4B" w:rsidRPr="00495E4B" w:rsidRDefault="00495E4B" w:rsidP="001F5CB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memutakhirkan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valid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Dapodik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riil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</w:p>
    <w:p w14:paraId="78279D8C" w14:textId="77777777" w:rsidR="00495E4B" w:rsidRPr="00495E4B" w:rsidRDefault="00495E4B" w:rsidP="001F5CB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bertanggung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mutlak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isian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Dapodik</w:t>
      </w:r>
      <w:proofErr w:type="spellEnd"/>
    </w:p>
    <w:p w14:paraId="22D3F0E2" w14:textId="77777777" w:rsidR="00495E4B" w:rsidRPr="00495E4B" w:rsidRDefault="00495E4B" w:rsidP="001F5CB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RKAS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mengacu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prinsip-prinsip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efektivitas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efisiensi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akuntabilitas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transparansi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</w:p>
    <w:p w14:paraId="37CCCCAB" w14:textId="77777777" w:rsidR="00495E4B" w:rsidRPr="00495E4B" w:rsidRDefault="00495E4B" w:rsidP="001F5CB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RKAS pada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Kementerian</w:t>
      </w:r>
    </w:p>
    <w:p w14:paraId="46D4894C" w14:textId="77777777" w:rsidR="00495E4B" w:rsidRPr="00495E4B" w:rsidRDefault="00495E4B" w:rsidP="001F5CB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efektivitas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efisiensi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akuntabilitas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transparansi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</w:p>
    <w:p w14:paraId="62A405E5" w14:textId="77777777" w:rsidR="00495E4B" w:rsidRPr="00495E4B" w:rsidRDefault="00495E4B" w:rsidP="001F5CB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menyelenggarakan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pengadministrasian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pertanggungjawaban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menyampaikan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perundang-undangan</w:t>
      </w:r>
      <w:proofErr w:type="spellEnd"/>
    </w:p>
    <w:p w14:paraId="49830180" w14:textId="77777777" w:rsidR="00495E4B" w:rsidRPr="00495E4B" w:rsidRDefault="00495E4B" w:rsidP="001F5CB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konfirmasi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diterima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laman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bos.kemdikbud.go.id</w:t>
      </w:r>
    </w:p>
    <w:p w14:paraId="41DD6723" w14:textId="77777777" w:rsidR="00495E4B" w:rsidRPr="00495E4B" w:rsidRDefault="00495E4B" w:rsidP="001F5CB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menyampaikan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realisasi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laman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bos.kemdikbud.go.id</w:t>
      </w:r>
    </w:p>
    <w:p w14:paraId="65CA892C" w14:textId="77777777" w:rsidR="00495E4B" w:rsidRPr="00495E4B" w:rsidRDefault="00495E4B" w:rsidP="001F5CB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bertanggung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formal dan material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diterima</w:t>
      </w:r>
      <w:proofErr w:type="spellEnd"/>
    </w:p>
    <w:p w14:paraId="25FD468F" w14:textId="77777777" w:rsidR="00495E4B" w:rsidRPr="00495E4B" w:rsidRDefault="00495E4B" w:rsidP="001F5CB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bersedia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diaudit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lembaga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kewenangan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audit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perundangperundangan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dikelola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berasal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</w:t>
      </w:r>
    </w:p>
    <w:p w14:paraId="0088B32C" w14:textId="77777777" w:rsidR="00495E4B" w:rsidRPr="00495E4B" w:rsidRDefault="00495E4B" w:rsidP="001F5CB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penanganan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pengaduan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4E3C95" w14:textId="77777777" w:rsidR="00495E4B" w:rsidRPr="00495E4B" w:rsidRDefault="00495E4B" w:rsidP="001F5CB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76F04E" w14:textId="77777777" w:rsidR="00495E4B" w:rsidRPr="00495E4B" w:rsidRDefault="00495E4B" w:rsidP="001F5CB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Dana Bos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Reguler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rincian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0EDACF4" w14:textId="77777777" w:rsidR="00495E4B" w:rsidRPr="00495E4B" w:rsidRDefault="00495E4B" w:rsidP="001F5CB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penerimaan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910C8D9" w14:textId="77777777" w:rsidR="00495E4B" w:rsidRPr="00495E4B" w:rsidRDefault="00495E4B" w:rsidP="001F5CB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penggandaan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formulir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publikasi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pengumuman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penerimaan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penerimaan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</w:p>
    <w:p w14:paraId="53F5F181" w14:textId="77777777" w:rsidR="00495E4B" w:rsidRPr="00495E4B" w:rsidRDefault="00495E4B" w:rsidP="001F5CB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pengenalan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</w:p>
    <w:p w14:paraId="1D3EC632" w14:textId="77777777" w:rsidR="00495E4B" w:rsidRPr="00495E4B" w:rsidRDefault="00495E4B" w:rsidP="001F5CB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penentuan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peminatan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diselenggarakan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Daerah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bakat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skolastik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potensi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akademik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diselenggarakan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</w:p>
    <w:p w14:paraId="0C4627F6" w14:textId="77777777" w:rsidR="00495E4B" w:rsidRPr="00495E4B" w:rsidRDefault="00495E4B" w:rsidP="001F5CB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pendataan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ulang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lama</w:t>
      </w:r>
    </w:p>
    <w:p w14:paraId="7A77B9E4" w14:textId="77777777" w:rsidR="00495E4B" w:rsidRPr="00495E4B" w:rsidRDefault="00495E4B" w:rsidP="001F5CB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penerimaan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236280" w14:textId="77777777" w:rsidR="00495E4B" w:rsidRPr="00495E4B" w:rsidRDefault="00495E4B" w:rsidP="001F5CB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E86C050" w14:textId="77777777" w:rsidR="00495E4B" w:rsidRPr="00495E4B" w:rsidRDefault="00495E4B" w:rsidP="001F5CB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penyediaan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28C818C" w14:textId="77777777" w:rsidR="00495E4B" w:rsidRPr="00495E4B" w:rsidRDefault="00495E4B" w:rsidP="001F5CB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disesuaikan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kurikulum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</w:p>
    <w:p w14:paraId="4352B273" w14:textId="77777777" w:rsidR="00495E4B" w:rsidRPr="00495E4B" w:rsidRDefault="00495E4B" w:rsidP="001F5CB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rasio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(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tema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pelajaran</w:t>
      </w:r>
      <w:proofErr w:type="spellEnd"/>
    </w:p>
    <w:p w14:paraId="5694B068" w14:textId="77777777" w:rsidR="00495E4B" w:rsidRPr="00495E4B" w:rsidRDefault="00495E4B" w:rsidP="001F5CB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guru pada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tema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diajarkan</w:t>
      </w:r>
      <w:proofErr w:type="spellEnd"/>
    </w:p>
    <w:p w14:paraId="21405C53" w14:textId="77777777" w:rsidR="00495E4B" w:rsidRPr="00495E4B" w:rsidRDefault="00495E4B" w:rsidP="001F5CB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dibeli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dinilai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Kementerian</w:t>
      </w:r>
    </w:p>
    <w:p w14:paraId="3D22AE20" w14:textId="77777777" w:rsidR="00495E4B" w:rsidRPr="00495E4B" w:rsidRDefault="00495E4B" w:rsidP="001F5CB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upaya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SMK dan SLB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dinilai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SMK dan SLB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diwajibkan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membeli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dinilai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Kementerian</w:t>
      </w:r>
    </w:p>
    <w:p w14:paraId="767ED086" w14:textId="77777777" w:rsidR="00495E4B" w:rsidRPr="00495E4B" w:rsidRDefault="00495E4B" w:rsidP="001F5CB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dibeli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dijadikan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pegangan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1288C8" w14:textId="77777777" w:rsidR="00495E4B" w:rsidRPr="00495E4B" w:rsidRDefault="00495E4B" w:rsidP="001F5CB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penyediaan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pendamping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4165446" w14:textId="77777777" w:rsidR="00495E4B" w:rsidRPr="00495E4B" w:rsidRDefault="00495E4B" w:rsidP="001F5CB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disesuaikan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kurikulum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</w:p>
    <w:p w14:paraId="57ABBF65" w14:textId="77777777" w:rsidR="00495E4B" w:rsidRPr="00495E4B" w:rsidRDefault="00495E4B" w:rsidP="001F5CB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dibeli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dinilai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Kementerian</w:t>
      </w:r>
    </w:p>
    <w:p w14:paraId="72DA67D8" w14:textId="77777777" w:rsidR="00495E4B" w:rsidRPr="00495E4B" w:rsidRDefault="00495E4B" w:rsidP="001F5CB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upaya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SMK dan SLB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dinilai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SMK dan SLB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diwajibkan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membeli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pendamping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dinilai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Kementerian</w:t>
      </w:r>
    </w:p>
    <w:p w14:paraId="3FCEC7B9" w14:textId="77777777" w:rsidR="00495E4B" w:rsidRPr="00495E4B" w:rsidRDefault="00495E4B" w:rsidP="001F5CB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penyediaan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AD0E097" w14:textId="77777777" w:rsidR="00495E4B" w:rsidRPr="00495E4B" w:rsidRDefault="00495E4B" w:rsidP="001F5CB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membeli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95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diutamakan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menunjang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penguatan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literasi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44FFA3" w14:textId="77777777" w:rsidR="00495E4B" w:rsidRPr="00495E4B" w:rsidRDefault="00495E4B" w:rsidP="001F5CB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dibeli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dinilai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Kementerian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Daerah</w:t>
      </w:r>
    </w:p>
    <w:p w14:paraId="040FD095" w14:textId="77777777" w:rsidR="00495E4B" w:rsidRPr="00495E4B" w:rsidRDefault="00495E4B" w:rsidP="001F5CB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upaya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SMK dan SLB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dinilai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SMK dan SLB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diwajibkan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membeli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dinilai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Kementerian</w:t>
      </w:r>
    </w:p>
    <w:p w14:paraId="6DC198BA" w14:textId="77777777" w:rsidR="00495E4B" w:rsidRPr="00495E4B" w:rsidRDefault="00495E4B" w:rsidP="001F5CB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penyediaan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</w:t>
      </w:r>
    </w:p>
    <w:p w14:paraId="370D050B" w14:textId="77777777" w:rsidR="00495E4B" w:rsidRPr="00495E4B" w:rsidRDefault="00495E4B" w:rsidP="001F5CB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menunjang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873903" w14:textId="77777777" w:rsidR="00495E4B" w:rsidRPr="00495E4B" w:rsidRDefault="00495E4B" w:rsidP="001F5CB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ekstrakurikuler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3A2DC8B" w14:textId="77777777" w:rsidR="00495E4B" w:rsidRPr="00495E4B" w:rsidRDefault="00495E4B" w:rsidP="001F5CB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9F379AB" w14:textId="77777777" w:rsidR="00495E4B" w:rsidRPr="00495E4B" w:rsidRDefault="00495E4B" w:rsidP="001F5C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penyediaan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</w:p>
    <w:p w14:paraId="4C8F5F4D" w14:textId="77777777" w:rsidR="00495E4B" w:rsidRPr="00495E4B" w:rsidRDefault="00495E4B" w:rsidP="001F5C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remedial,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persiapan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ujian</w:t>
      </w:r>
      <w:proofErr w:type="spellEnd"/>
    </w:p>
    <w:p w14:paraId="3347E012" w14:textId="77777777" w:rsidR="00495E4B" w:rsidRPr="00495E4B" w:rsidRDefault="00495E4B" w:rsidP="001F5C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elektronik</w:t>
      </w:r>
      <w:proofErr w:type="spellEnd"/>
    </w:p>
    <w:p w14:paraId="676BD6DF" w14:textId="77777777" w:rsidR="00495E4B" w:rsidRPr="00495E4B" w:rsidRDefault="00495E4B" w:rsidP="001F5C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penyediaan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</w:p>
    <w:p w14:paraId="2F1F1C07" w14:textId="77777777" w:rsidR="00495E4B" w:rsidRPr="00495E4B" w:rsidRDefault="00495E4B" w:rsidP="001F5C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literasi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penumbuhan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budi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pekerti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pelibatan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keluarga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</w:p>
    <w:p w14:paraId="57830B6A" w14:textId="77777777" w:rsidR="00495E4B" w:rsidRPr="00495E4B" w:rsidRDefault="00495E4B" w:rsidP="001F5C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menunjang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59B74D" w14:textId="77777777" w:rsidR="00495E4B" w:rsidRPr="00495E4B" w:rsidRDefault="00495E4B" w:rsidP="001F5CB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ekstrakurikuler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1D9DDFC" w14:textId="77777777" w:rsidR="00495E4B" w:rsidRPr="00495E4B" w:rsidRDefault="00495E4B" w:rsidP="001F5CB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penyelenggaraan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ekstrakurikuler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lomba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</w:p>
    <w:p w14:paraId="7E2604A7" w14:textId="77777777" w:rsidR="00495E4B" w:rsidRPr="00495E4B" w:rsidRDefault="00495E4B" w:rsidP="001F5CB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lomba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negeri</w:t>
      </w:r>
    </w:p>
    <w:p w14:paraId="138D8164" w14:textId="77777777" w:rsidR="00495E4B" w:rsidRPr="00495E4B" w:rsidRDefault="00495E4B" w:rsidP="001F5CB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menunjang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ekstrakurikuler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A9A395" w14:textId="77777777" w:rsidR="00495E4B" w:rsidRPr="00495E4B" w:rsidRDefault="00495E4B" w:rsidP="001F5CB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asesmen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evaluasi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4F56532" w14:textId="77777777" w:rsidR="00495E4B" w:rsidRPr="00495E4B" w:rsidRDefault="00495E4B" w:rsidP="001F5CB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penyelenggaraan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ulangan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harian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ulangan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tengah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semester,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ulangan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semester,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ulangan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kenaikan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survei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asesmen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asesmen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asesmen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penyediaan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ulangan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ujian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asesmen</w:t>
      </w:r>
      <w:proofErr w:type="spellEnd"/>
    </w:p>
    <w:p w14:paraId="7537EF60" w14:textId="77777777" w:rsidR="00495E4B" w:rsidRPr="00495E4B" w:rsidRDefault="00495E4B" w:rsidP="001F5CB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asesmen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evaluasi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E72943" w14:textId="77777777" w:rsidR="00495E4B" w:rsidRPr="00495E4B" w:rsidRDefault="00495E4B" w:rsidP="001F5CB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administrasi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826E50E" w14:textId="77777777" w:rsidR="00495E4B" w:rsidRPr="00495E4B" w:rsidRDefault="00495E4B" w:rsidP="001F5CB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rutin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tatap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muka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jarak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</w:p>
    <w:p w14:paraId="772E0B58" w14:textId="77777777" w:rsidR="00495E4B" w:rsidRPr="00495E4B" w:rsidRDefault="00495E4B" w:rsidP="001F5CB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pembelian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cairan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sabun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pembersih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pembasmi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kuman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(disinfectant), masker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penunjang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kebersihan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763730" w14:textId="77777777" w:rsidR="00495E4B" w:rsidRPr="00495E4B" w:rsidRDefault="00495E4B" w:rsidP="001F5CB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profesi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guru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tenaga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kependidikan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E300EF8" w14:textId="77777777" w:rsidR="00495E4B" w:rsidRPr="00495E4B" w:rsidRDefault="00495E4B" w:rsidP="001F5CB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menyelenggarakan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peningkatan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kompetensi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guru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tenaga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kependidikan</w:t>
      </w:r>
      <w:proofErr w:type="spellEnd"/>
    </w:p>
    <w:p w14:paraId="34BB1477" w14:textId="77777777" w:rsidR="00495E4B" w:rsidRPr="00495E4B" w:rsidRDefault="00495E4B" w:rsidP="001F5CB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inovasi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kompetensi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guru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tenaga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kependidikan</w:t>
      </w:r>
      <w:proofErr w:type="spellEnd"/>
    </w:p>
    <w:p w14:paraId="080CE0F1" w14:textId="77777777" w:rsidR="00495E4B" w:rsidRPr="00495E4B" w:rsidRDefault="00495E4B" w:rsidP="001F5CB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menunjang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profesi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guru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tenaga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kependidikan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1E2A81" w14:textId="77777777" w:rsidR="00495E4B" w:rsidRPr="00495E4B" w:rsidRDefault="00495E4B" w:rsidP="001F5CB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langganan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D519678" w14:textId="77777777" w:rsidR="00495E4B" w:rsidRPr="00495E4B" w:rsidRDefault="00495E4B" w:rsidP="001F5CB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menyewa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membeli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genset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panel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surya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peralatan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pendukungnya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perawatan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perbaikan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stabil</w:t>
      </w:r>
      <w:proofErr w:type="spellEnd"/>
    </w:p>
    <w:p w14:paraId="2E0639F5" w14:textId="77777777" w:rsidR="00495E4B" w:rsidRPr="00495E4B" w:rsidRDefault="00495E4B" w:rsidP="001F5CB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langganan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pembelian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pulsa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paket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dan/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daring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berbayar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pendidik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jarak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</w:p>
    <w:p w14:paraId="3FEA46F8" w14:textId="77777777" w:rsidR="00495E4B" w:rsidRPr="00495E4B" w:rsidRDefault="00495E4B" w:rsidP="001F5CB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pemasangan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kapasitas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langganan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rutin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langganan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B15F34" w14:textId="77777777" w:rsidR="00495E4B" w:rsidRPr="00495E4B" w:rsidRDefault="00495E4B" w:rsidP="001F5CB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pemeliharaan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prasarana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pemeliharaan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perbaikan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rusak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ringan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prasarana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49E0FD4" w14:textId="77777777" w:rsidR="00495E4B" w:rsidRPr="00495E4B" w:rsidRDefault="00495E4B" w:rsidP="001F5CB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perbaikan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kerusakan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struktural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bangunan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penggantian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30% (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persen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terpasang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bangunan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ED20BDB" w14:textId="77777777" w:rsidR="00495E4B" w:rsidRPr="00495E4B" w:rsidRDefault="00495E4B" w:rsidP="001F5C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Penutup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atap</w:t>
      </w:r>
      <w:proofErr w:type="spellEnd"/>
    </w:p>
    <w:p w14:paraId="5B1DDA93" w14:textId="77777777" w:rsidR="00495E4B" w:rsidRPr="00495E4B" w:rsidRDefault="00495E4B" w:rsidP="001F5C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Penutup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Plafon</w:t>
      </w:r>
      <w:proofErr w:type="spellEnd"/>
    </w:p>
    <w:p w14:paraId="235729B9" w14:textId="77777777" w:rsidR="00495E4B" w:rsidRPr="00495E4B" w:rsidRDefault="00495E4B" w:rsidP="001F5C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Kelistrikan</w:t>
      </w:r>
      <w:proofErr w:type="spellEnd"/>
    </w:p>
    <w:p w14:paraId="61E85C65" w14:textId="77777777" w:rsidR="00495E4B" w:rsidRPr="00495E4B" w:rsidRDefault="00495E4B" w:rsidP="001F5C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Pintu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jendela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aksesoris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</w:p>
    <w:p w14:paraId="2A2D85C1" w14:textId="77777777" w:rsidR="00495E4B" w:rsidRPr="00495E4B" w:rsidRDefault="00495E4B" w:rsidP="001F5C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Pengecatan</w:t>
      </w:r>
      <w:proofErr w:type="spellEnd"/>
    </w:p>
    <w:p w14:paraId="2F7108A4" w14:textId="77777777" w:rsidR="00495E4B" w:rsidRPr="00495E4B" w:rsidRDefault="00495E4B" w:rsidP="001F5CB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Penutup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lantai</w:t>
      </w:r>
      <w:proofErr w:type="spellEnd"/>
    </w:p>
    <w:p w14:paraId="1E655904" w14:textId="77777777" w:rsidR="00495E4B" w:rsidRPr="00495E4B" w:rsidRDefault="00495E4B" w:rsidP="001F5CB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perbaikan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meubelair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, dan/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pembelian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kursi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guru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kursi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jumlahnya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mencukupi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</w:p>
    <w:p w14:paraId="3114B556" w14:textId="77777777" w:rsidR="00495E4B" w:rsidRPr="00495E4B" w:rsidRDefault="00495E4B" w:rsidP="001F5CB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perbaikan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toilet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cuci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saluran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air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kotor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sanitasi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</w:p>
    <w:p w14:paraId="027D77A4" w14:textId="77777777" w:rsidR="00495E4B" w:rsidRPr="00495E4B" w:rsidRDefault="00495E4B" w:rsidP="001F5CB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penyediaan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air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bersih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pompa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instalasinya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air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bersih</w:t>
      </w:r>
      <w:proofErr w:type="spellEnd"/>
    </w:p>
    <w:p w14:paraId="2263886D" w14:textId="77777777" w:rsidR="00495E4B" w:rsidRPr="00495E4B" w:rsidRDefault="00495E4B" w:rsidP="001F5CB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pemeliharaan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perbaikan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printer, laptop,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proyektor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, dan/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pendingin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ruangan</w:t>
      </w:r>
      <w:proofErr w:type="spellEnd"/>
    </w:p>
    <w:p w14:paraId="5F7579C4" w14:textId="77777777" w:rsidR="00495E4B" w:rsidRPr="00495E4B" w:rsidRDefault="00495E4B" w:rsidP="001F5CB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pemeliharaan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perbaikan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peralatan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  <w:proofErr w:type="spellEnd"/>
    </w:p>
    <w:p w14:paraId="38CD3F93" w14:textId="77777777" w:rsidR="00495E4B" w:rsidRPr="00495E4B" w:rsidRDefault="00495E4B" w:rsidP="001F5CB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pemeliharaan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taman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</w:p>
    <w:p w14:paraId="350CCF68" w14:textId="77777777" w:rsidR="00495E4B" w:rsidRPr="00495E4B" w:rsidRDefault="00495E4B" w:rsidP="001F5CB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penyediaan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perawatan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aksesibilitas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berkebutuhan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</w:p>
    <w:p w14:paraId="477D9CED" w14:textId="77777777" w:rsidR="00495E4B" w:rsidRPr="00495E4B" w:rsidRDefault="00495E4B" w:rsidP="001F5CB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pemeliharaan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prasarana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FA0943" w14:textId="77777777" w:rsidR="00495E4B" w:rsidRPr="00495E4B" w:rsidRDefault="00495E4B" w:rsidP="001F5CB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penyediaan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multimedia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penyediaan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multimedia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analisa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multimedia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B422F05" w14:textId="77777777" w:rsidR="00495E4B" w:rsidRPr="00495E4B" w:rsidRDefault="00495E4B" w:rsidP="001F5C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desktop/work station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Personal Computer (PC)/All in One Computer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</w:p>
    <w:p w14:paraId="6512D14B" w14:textId="77777777" w:rsidR="00495E4B" w:rsidRPr="00495E4B" w:rsidRDefault="00495E4B" w:rsidP="001F5C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4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Printer</w:t>
      </w: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5E4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Printer plus Scanner</w:t>
      </w:r>
    </w:p>
    <w:p w14:paraId="1DF41B77" w14:textId="77777777" w:rsidR="00495E4B" w:rsidRPr="00495E4B" w:rsidRDefault="00495E4B" w:rsidP="001F5C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Laptop</w:t>
      </w:r>
    </w:p>
    <w:p w14:paraId="38CE6951" w14:textId="77777777" w:rsidR="00495E4B" w:rsidRPr="00495E4B" w:rsidRDefault="00495E4B" w:rsidP="001F5C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4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Liquid Crystal Display</w:t>
      </w: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(LCD)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Proyektor</w:t>
      </w:r>
      <w:proofErr w:type="spellEnd"/>
    </w:p>
    <w:p w14:paraId="61AB0E08" w14:textId="77777777" w:rsidR="00495E4B" w:rsidRPr="00495E4B" w:rsidRDefault="00495E4B" w:rsidP="001F5C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multimedia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menunjang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463F4A" w14:textId="77777777" w:rsidR="00495E4B" w:rsidRPr="00495E4B" w:rsidRDefault="00495E4B" w:rsidP="001F5CB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penyelenggaraan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peningkatan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kompetensi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keahlian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SMK dan SMALB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peningkatan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kompetensi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keahlian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3F6F9C8" w14:textId="77777777" w:rsidR="00495E4B" w:rsidRPr="00495E4B" w:rsidRDefault="00495E4B" w:rsidP="001F5CB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penyelenggaraan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uji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kompetensi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keahlian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sertifikasi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kejuruan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SMK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SMALB</w:t>
      </w:r>
    </w:p>
    <w:p w14:paraId="64D97041" w14:textId="77777777" w:rsidR="00495E4B" w:rsidRPr="00495E4B" w:rsidRDefault="00495E4B" w:rsidP="001F5CB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penyelenggaraan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sertifikasi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kompetensi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SMK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SMALB</w:t>
      </w:r>
    </w:p>
    <w:p w14:paraId="04B45E89" w14:textId="77777777" w:rsidR="00495E4B" w:rsidRPr="00495E4B" w:rsidRDefault="00495E4B" w:rsidP="001F5CB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penyelenggaraan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uji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kompetensi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Inggris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berstandar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internasional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TOEIC (</w:t>
      </w:r>
      <w:r w:rsidRPr="00495E4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Test </w:t>
      </w:r>
      <w:proofErr w:type="gramStart"/>
      <w:r w:rsidRPr="00495E4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</w:t>
      </w:r>
      <w:proofErr w:type="gramEnd"/>
      <w:r w:rsidRPr="00495E4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English For International Communication</w:t>
      </w:r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diperuntukkan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SMK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SMALB.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Penyelenggaraan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TOEIC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lembaga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ditunjuk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resmi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TOEIC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distributor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TOEIC di Indonesia</w:t>
      </w:r>
    </w:p>
    <w:p w14:paraId="169B56FC" w14:textId="77777777" w:rsidR="00495E4B" w:rsidRPr="00495E4B" w:rsidRDefault="00495E4B" w:rsidP="001F5CB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penyelenggaraan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praktik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lapangan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SMK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SMALB,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perjalanan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dinas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pembimbing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praktek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bimbingan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pemantauan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praktek</w:t>
      </w:r>
      <w:proofErr w:type="spellEnd"/>
    </w:p>
    <w:p w14:paraId="6064B146" w14:textId="77777777" w:rsidR="00495E4B" w:rsidRPr="00495E4B" w:rsidRDefault="00495E4B" w:rsidP="001F5CB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pemagangan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guru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masingmasing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kompetensi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keahlian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dilaksanakan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1F1BF52" w14:textId="77777777" w:rsidR="00495E4B" w:rsidRPr="00495E4B" w:rsidRDefault="00495E4B" w:rsidP="001F5CB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industry</w:t>
      </w:r>
    </w:p>
    <w:p w14:paraId="02456E0E" w14:textId="77777777" w:rsidR="00495E4B" w:rsidRPr="00495E4B" w:rsidRDefault="00495E4B" w:rsidP="001F5CB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magang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uji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mutu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merealisasi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kesepakatan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5E4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teaching factory</w:t>
      </w:r>
    </w:p>
    <w:p w14:paraId="3C9BCA94" w14:textId="77777777" w:rsidR="00495E4B" w:rsidRPr="00495E4B" w:rsidRDefault="00495E4B" w:rsidP="001F5CB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magang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baku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5E4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teaching factory</w:t>
      </w:r>
    </w:p>
    <w:p w14:paraId="3FB77226" w14:textId="77777777" w:rsidR="00495E4B" w:rsidRPr="00495E4B" w:rsidRDefault="00495E4B" w:rsidP="001F5CB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magang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kerjasama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lisensi</w:t>
      </w:r>
      <w:proofErr w:type="spellEnd"/>
    </w:p>
    <w:p w14:paraId="7BA2F93D" w14:textId="77777777" w:rsidR="00495E4B" w:rsidRPr="00495E4B" w:rsidRDefault="00495E4B" w:rsidP="001F5CB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sertifikasi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lembaga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sertifikasi</w:t>
      </w:r>
      <w:proofErr w:type="spellEnd"/>
    </w:p>
    <w:p w14:paraId="36408668" w14:textId="77777777" w:rsidR="00495E4B" w:rsidRPr="00495E4B" w:rsidRDefault="00495E4B" w:rsidP="001F5CB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magang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menjalin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kerjasama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</w:p>
    <w:p w14:paraId="64711753" w14:textId="77777777" w:rsidR="00495E4B" w:rsidRPr="00495E4B" w:rsidRDefault="00495E4B" w:rsidP="001F5CB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penyelenggaraan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SMK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SMALB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lembaga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sertifikasi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profesi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didalamnya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pendirian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skema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sertifikasi</w:t>
      </w:r>
      <w:proofErr w:type="spellEnd"/>
    </w:p>
    <w:p w14:paraId="6198B94C" w14:textId="77777777" w:rsidR="00495E4B" w:rsidRPr="00495E4B" w:rsidRDefault="00495E4B" w:rsidP="001F5CB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peningkatan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kompetensi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keahlian</w:t>
      </w:r>
      <w:proofErr w:type="spellEnd"/>
    </w:p>
    <w:p w14:paraId="3B0972E6" w14:textId="77777777" w:rsidR="00495E4B" w:rsidRPr="00495E4B" w:rsidRDefault="00495E4B" w:rsidP="001F5CB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penyelenggaraan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keterserapan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lulusan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SMK dan SMALB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penyelenggaraan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keterserapan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lulusan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489B6AC" w14:textId="77777777" w:rsidR="00495E4B" w:rsidRPr="00495E4B" w:rsidRDefault="00495E4B" w:rsidP="001F5CB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penyelenggaraan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bursa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SMK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SMALB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perjalanan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dinas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pengelola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bursa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SMK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SMALB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kerjasama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verifikasi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pendampingan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, dan/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evaluasi</w:t>
      </w:r>
      <w:proofErr w:type="spellEnd"/>
    </w:p>
    <w:p w14:paraId="6231CB82" w14:textId="77777777" w:rsidR="00495E4B" w:rsidRPr="00495E4B" w:rsidRDefault="00495E4B" w:rsidP="001F5CB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pemantauan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kebekerjaan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lulusan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(tracer study) SMK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SMALB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perjalanan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dinas</w:t>
      </w:r>
      <w:proofErr w:type="spellEnd"/>
    </w:p>
    <w:p w14:paraId="2B593124" w14:textId="77777777" w:rsidR="00495E4B" w:rsidRPr="00495E4B" w:rsidRDefault="00495E4B" w:rsidP="001F5CB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pembiayaan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menunjang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penyelenggaraan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keterserapan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lulusan</w:t>
      </w:r>
      <w:proofErr w:type="spellEnd"/>
      <w:r w:rsidRPr="00495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BEEFAC" w14:textId="77777777" w:rsidR="00F86C0D" w:rsidRPr="00495E4B" w:rsidRDefault="00F86C0D" w:rsidP="001F5C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86C0D" w:rsidRPr="00495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2D5B"/>
    <w:multiLevelType w:val="hybridMultilevel"/>
    <w:tmpl w:val="38FC7F3A"/>
    <w:lvl w:ilvl="0" w:tplc="F08A6E7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2F3BFA"/>
    <w:multiLevelType w:val="hybridMultilevel"/>
    <w:tmpl w:val="B896D152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3E4E51"/>
    <w:multiLevelType w:val="hybridMultilevel"/>
    <w:tmpl w:val="EE889DB4"/>
    <w:lvl w:ilvl="0" w:tplc="4DD2FA0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D4F366C"/>
    <w:multiLevelType w:val="hybridMultilevel"/>
    <w:tmpl w:val="0F42DDE6"/>
    <w:lvl w:ilvl="0" w:tplc="38090017">
      <w:start w:val="1"/>
      <w:numFmt w:val="lowerLetter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62117EA"/>
    <w:multiLevelType w:val="hybridMultilevel"/>
    <w:tmpl w:val="C630A6CC"/>
    <w:lvl w:ilvl="0" w:tplc="8ACAF20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6E50221"/>
    <w:multiLevelType w:val="hybridMultilevel"/>
    <w:tmpl w:val="8D101726"/>
    <w:lvl w:ilvl="0" w:tplc="B97EB7C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D142C3B"/>
    <w:multiLevelType w:val="hybridMultilevel"/>
    <w:tmpl w:val="43904E30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5D75881"/>
    <w:multiLevelType w:val="hybridMultilevel"/>
    <w:tmpl w:val="23942F86"/>
    <w:lvl w:ilvl="0" w:tplc="38090017">
      <w:start w:val="1"/>
      <w:numFmt w:val="lowerLetter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6F83FF7"/>
    <w:multiLevelType w:val="hybridMultilevel"/>
    <w:tmpl w:val="01B49AE0"/>
    <w:lvl w:ilvl="0" w:tplc="BB0A06B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7203C7A"/>
    <w:multiLevelType w:val="hybridMultilevel"/>
    <w:tmpl w:val="B4A0DD1C"/>
    <w:lvl w:ilvl="0" w:tplc="62C809F0">
      <w:start w:val="1"/>
      <w:numFmt w:val="decimal"/>
      <w:lvlText w:val="%1"/>
      <w:lvlJc w:val="left"/>
      <w:pPr>
        <w:ind w:left="4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28CC52B3"/>
    <w:multiLevelType w:val="hybridMultilevel"/>
    <w:tmpl w:val="D0421198"/>
    <w:lvl w:ilvl="0" w:tplc="38090017">
      <w:start w:val="1"/>
      <w:numFmt w:val="lowerLetter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2E286BC2"/>
    <w:multiLevelType w:val="hybridMultilevel"/>
    <w:tmpl w:val="6A9A05BA"/>
    <w:lvl w:ilvl="0" w:tplc="1F5434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BD316E"/>
    <w:multiLevelType w:val="hybridMultilevel"/>
    <w:tmpl w:val="1DAEFFC4"/>
    <w:lvl w:ilvl="0" w:tplc="38090017">
      <w:start w:val="1"/>
      <w:numFmt w:val="lowerLetter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CBA765D"/>
    <w:multiLevelType w:val="hybridMultilevel"/>
    <w:tmpl w:val="6346DC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2159C"/>
    <w:multiLevelType w:val="hybridMultilevel"/>
    <w:tmpl w:val="71A2C1B4"/>
    <w:lvl w:ilvl="0" w:tplc="38090017">
      <w:start w:val="1"/>
      <w:numFmt w:val="lowerLetter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427D03A1"/>
    <w:multiLevelType w:val="hybridMultilevel"/>
    <w:tmpl w:val="C0FAC6DE"/>
    <w:lvl w:ilvl="0" w:tplc="38090019">
      <w:start w:val="1"/>
      <w:numFmt w:val="lowerLetter"/>
      <w:lvlText w:val="%1."/>
      <w:lvlJc w:val="left"/>
      <w:pPr>
        <w:ind w:left="796" w:hanging="360"/>
      </w:pPr>
    </w:lvl>
    <w:lvl w:ilvl="1" w:tplc="38090019" w:tentative="1">
      <w:start w:val="1"/>
      <w:numFmt w:val="lowerLetter"/>
      <w:lvlText w:val="%2."/>
      <w:lvlJc w:val="left"/>
      <w:pPr>
        <w:ind w:left="1516" w:hanging="360"/>
      </w:pPr>
    </w:lvl>
    <w:lvl w:ilvl="2" w:tplc="3809001B" w:tentative="1">
      <w:start w:val="1"/>
      <w:numFmt w:val="lowerRoman"/>
      <w:lvlText w:val="%3."/>
      <w:lvlJc w:val="right"/>
      <w:pPr>
        <w:ind w:left="2236" w:hanging="180"/>
      </w:pPr>
    </w:lvl>
    <w:lvl w:ilvl="3" w:tplc="3809000F" w:tentative="1">
      <w:start w:val="1"/>
      <w:numFmt w:val="decimal"/>
      <w:lvlText w:val="%4."/>
      <w:lvlJc w:val="left"/>
      <w:pPr>
        <w:ind w:left="2956" w:hanging="360"/>
      </w:pPr>
    </w:lvl>
    <w:lvl w:ilvl="4" w:tplc="38090019" w:tentative="1">
      <w:start w:val="1"/>
      <w:numFmt w:val="lowerLetter"/>
      <w:lvlText w:val="%5."/>
      <w:lvlJc w:val="left"/>
      <w:pPr>
        <w:ind w:left="3676" w:hanging="360"/>
      </w:pPr>
    </w:lvl>
    <w:lvl w:ilvl="5" w:tplc="3809001B" w:tentative="1">
      <w:start w:val="1"/>
      <w:numFmt w:val="lowerRoman"/>
      <w:lvlText w:val="%6."/>
      <w:lvlJc w:val="right"/>
      <w:pPr>
        <w:ind w:left="4396" w:hanging="180"/>
      </w:pPr>
    </w:lvl>
    <w:lvl w:ilvl="6" w:tplc="3809000F" w:tentative="1">
      <w:start w:val="1"/>
      <w:numFmt w:val="decimal"/>
      <w:lvlText w:val="%7."/>
      <w:lvlJc w:val="left"/>
      <w:pPr>
        <w:ind w:left="5116" w:hanging="360"/>
      </w:pPr>
    </w:lvl>
    <w:lvl w:ilvl="7" w:tplc="38090019" w:tentative="1">
      <w:start w:val="1"/>
      <w:numFmt w:val="lowerLetter"/>
      <w:lvlText w:val="%8."/>
      <w:lvlJc w:val="left"/>
      <w:pPr>
        <w:ind w:left="5836" w:hanging="360"/>
      </w:pPr>
    </w:lvl>
    <w:lvl w:ilvl="8" w:tplc="3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6" w15:restartNumberingAfterBreak="0">
    <w:nsid w:val="43043BDB"/>
    <w:multiLevelType w:val="hybridMultilevel"/>
    <w:tmpl w:val="07D493E2"/>
    <w:lvl w:ilvl="0" w:tplc="38090017">
      <w:start w:val="1"/>
      <w:numFmt w:val="lowerLetter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451758D7"/>
    <w:multiLevelType w:val="hybridMultilevel"/>
    <w:tmpl w:val="086A2784"/>
    <w:lvl w:ilvl="0" w:tplc="38090019">
      <w:start w:val="1"/>
      <w:numFmt w:val="lowerLetter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56FB215D"/>
    <w:multiLevelType w:val="hybridMultilevel"/>
    <w:tmpl w:val="6A420478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8B9676E"/>
    <w:multiLevelType w:val="hybridMultilevel"/>
    <w:tmpl w:val="032E364C"/>
    <w:lvl w:ilvl="0" w:tplc="65225EF0">
      <w:start w:val="1"/>
      <w:numFmt w:val="lowerLetter"/>
      <w:lvlText w:val="%1."/>
      <w:lvlJc w:val="left"/>
      <w:pPr>
        <w:ind w:left="76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5A4D7971"/>
    <w:multiLevelType w:val="hybridMultilevel"/>
    <w:tmpl w:val="970E981C"/>
    <w:lvl w:ilvl="0" w:tplc="1F54347A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1" w15:restartNumberingAfterBreak="0">
    <w:nsid w:val="5A8D12AD"/>
    <w:multiLevelType w:val="hybridMultilevel"/>
    <w:tmpl w:val="4DBED798"/>
    <w:lvl w:ilvl="0" w:tplc="62C809F0">
      <w:start w:val="1"/>
      <w:numFmt w:val="decimal"/>
      <w:lvlText w:val="%1"/>
      <w:lvlJc w:val="left"/>
      <w:pPr>
        <w:ind w:left="4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6AD82EEA"/>
    <w:multiLevelType w:val="hybridMultilevel"/>
    <w:tmpl w:val="B896D152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C9142FA"/>
    <w:multiLevelType w:val="hybridMultilevel"/>
    <w:tmpl w:val="69D4535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5D6E9B"/>
    <w:multiLevelType w:val="hybridMultilevel"/>
    <w:tmpl w:val="3D58A290"/>
    <w:lvl w:ilvl="0" w:tplc="6510929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0C620B1"/>
    <w:multiLevelType w:val="hybridMultilevel"/>
    <w:tmpl w:val="A91ABF8C"/>
    <w:lvl w:ilvl="0" w:tplc="38090017">
      <w:start w:val="1"/>
      <w:numFmt w:val="lowerLetter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7827454C"/>
    <w:multiLevelType w:val="hybridMultilevel"/>
    <w:tmpl w:val="6AC0CAC6"/>
    <w:lvl w:ilvl="0" w:tplc="FB3A8F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F930C88"/>
    <w:multiLevelType w:val="hybridMultilevel"/>
    <w:tmpl w:val="C9E4DFF0"/>
    <w:lvl w:ilvl="0" w:tplc="38090019">
      <w:start w:val="1"/>
      <w:numFmt w:val="lowerLetter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9"/>
  </w:num>
  <w:num w:numId="2">
    <w:abstractNumId w:val="21"/>
  </w:num>
  <w:num w:numId="3">
    <w:abstractNumId w:val="20"/>
  </w:num>
  <w:num w:numId="4">
    <w:abstractNumId w:val="19"/>
  </w:num>
  <w:num w:numId="5">
    <w:abstractNumId w:val="27"/>
  </w:num>
  <w:num w:numId="6">
    <w:abstractNumId w:val="17"/>
  </w:num>
  <w:num w:numId="7">
    <w:abstractNumId w:val="11"/>
  </w:num>
  <w:num w:numId="8">
    <w:abstractNumId w:val="13"/>
  </w:num>
  <w:num w:numId="9">
    <w:abstractNumId w:val="23"/>
  </w:num>
  <w:num w:numId="10">
    <w:abstractNumId w:val="6"/>
  </w:num>
  <w:num w:numId="11">
    <w:abstractNumId w:val="18"/>
  </w:num>
  <w:num w:numId="12">
    <w:abstractNumId w:val="25"/>
  </w:num>
  <w:num w:numId="13">
    <w:abstractNumId w:val="10"/>
  </w:num>
  <w:num w:numId="14">
    <w:abstractNumId w:val="3"/>
  </w:num>
  <w:num w:numId="15">
    <w:abstractNumId w:val="1"/>
  </w:num>
  <w:num w:numId="16">
    <w:abstractNumId w:val="7"/>
  </w:num>
  <w:num w:numId="17">
    <w:abstractNumId w:val="16"/>
  </w:num>
  <w:num w:numId="18">
    <w:abstractNumId w:val="4"/>
  </w:num>
  <w:num w:numId="19">
    <w:abstractNumId w:val="0"/>
  </w:num>
  <w:num w:numId="20">
    <w:abstractNumId w:val="24"/>
  </w:num>
  <w:num w:numId="21">
    <w:abstractNumId w:val="26"/>
  </w:num>
  <w:num w:numId="22">
    <w:abstractNumId w:val="8"/>
  </w:num>
  <w:num w:numId="23">
    <w:abstractNumId w:val="14"/>
  </w:num>
  <w:num w:numId="24">
    <w:abstractNumId w:val="5"/>
  </w:num>
  <w:num w:numId="25">
    <w:abstractNumId w:val="2"/>
  </w:num>
  <w:num w:numId="26">
    <w:abstractNumId w:val="12"/>
  </w:num>
  <w:num w:numId="27">
    <w:abstractNumId w:val="2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4B"/>
    <w:rsid w:val="001F5CB1"/>
    <w:rsid w:val="00385570"/>
    <w:rsid w:val="00495E4B"/>
    <w:rsid w:val="004D7BFF"/>
    <w:rsid w:val="008F419C"/>
    <w:rsid w:val="00B6526F"/>
    <w:rsid w:val="00DD780C"/>
    <w:rsid w:val="00F8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769C"/>
  <w15:chartTrackingRefBased/>
  <w15:docId w15:val="{A0EE640B-2F5E-4869-9752-BF6267C3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4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E4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5E4B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495E4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495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3001</Words>
  <Characters>17106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3.1 Pengertian Dana Bos</vt:lpstr>
      <vt:lpstr>    3.2 Sejarah Dana Bos</vt:lpstr>
      <vt:lpstr>    3.3 Penerima Dana Bos</vt:lpstr>
      <vt:lpstr>    3.4 Alokasi Dana Bos </vt:lpstr>
      <vt:lpstr>    3.5 Penyaluran Dana Bos</vt:lpstr>
      <vt:lpstr>    3.5 Tata Cara Pengelolaan</vt:lpstr>
    </vt:vector>
  </TitlesOfParts>
  <Company/>
  <LinksUpToDate>false</LinksUpToDate>
  <CharactersWithSpaces>20067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2021-10-13T08:08:00Z</dcterms:created>
  <dcterms:modified xsi:type="dcterms:W3CDTF">2021-10-22T03:29:00Z</dcterms:modified>
</cp:coreProperties>
</file>