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Разница есть.</w:t>
        <w:br/>
        <w:t>Причина не установлена.</w:t>
      </w:r>
    </w:p>
    <w:p>
      <w:pPr>
        <w:pStyle w:val="Subtitle"/>
      </w:pPr>
      <w:r>
        <w:t>Время подготовки отчёта в двух искусственных выборках</w:t>
      </w:r>
    </w:p>
    <w:p>
      <w:r>
        <w:t>Две выборки по шесть значений созданы для проверки анализа, формул, диаграмм и качества документов. Это не результаты наблюдения за людьми или компаниями. Все значения выражены в минутах.</w:t>
      </w:r>
    </w:p>
    <w:p>
      <w:pPr>
        <w:pStyle w:val="Heading1"/>
      </w:pPr>
      <w:r>
        <w:t>Описательный результат</w:t>
      </w:r>
    </w:p>
    <w:p>
      <w:r>
        <w:t>Медианное время составляет 41,5 минуты в группе «Контроль» и 30,5 минуты в группе «Поддержка». Разница равна 11 минутам. Названия групп условные и не обозначают проведённый эксперимент.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0F2"/>
          </w:tcPr>
          <w:p>
            <w:r>
              <w:t>Группа</w:t>
            </w:r>
          </w:p>
        </w:tc>
        <w:tc>
          <w:tcPr>
            <w:tcW w:type="dxa" w:w="2556"/>
            <w:shd w:fill="EAF0F2"/>
          </w:tcPr>
          <w:p>
            <w:r>
              <w:t>n</w:t>
            </w:r>
          </w:p>
        </w:tc>
        <w:tc>
          <w:tcPr>
            <w:tcW w:type="dxa" w:w="2556"/>
            <w:shd w:fill="EAF0F2"/>
          </w:tcPr>
          <w:p>
            <w:r>
              <w:t>Медиана</w:t>
            </w:r>
          </w:p>
        </w:tc>
        <w:tc>
          <w:tcPr>
            <w:tcW w:type="dxa" w:w="2556"/>
            <w:shd w:fill="EAF0F2"/>
          </w:tcPr>
          <w:p>
            <w:r>
              <w:t>Диапазон</w:t>
            </w:r>
          </w:p>
        </w:tc>
      </w:tr>
      <w:tr>
        <w:tc>
          <w:tcPr>
            <w:tcW w:type="dxa" w:w="2556"/>
          </w:tcPr>
          <w:p>
            <w:r>
              <w:t>Контроль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41,5 мин</w:t>
            </w:r>
          </w:p>
        </w:tc>
        <w:tc>
          <w:tcPr>
            <w:tcW w:type="dxa" w:w="2556"/>
          </w:tcPr>
          <w:p>
            <w:r>
              <w:t>39–45 мин</w:t>
            </w:r>
          </w:p>
        </w:tc>
      </w:tr>
      <w:tr>
        <w:tc>
          <w:tcPr>
            <w:tcW w:type="dxa" w:w="2556"/>
          </w:tcPr>
          <w:p>
            <w:r>
              <w:t>Поддержка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30,5 мин</w:t>
            </w:r>
          </w:p>
        </w:tc>
        <w:tc>
          <w:tcPr>
            <w:tcW w:type="dxa" w:w="2556"/>
          </w:tcPr>
          <w:p>
            <w:r>
              <w:t>28–34 мин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2342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2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Все 12 точек, диапазоны и медианы показаны на одинаковой шкале от 0 до 50 минут.</w:t>
      </w:r>
    </w:p>
    <w:p>
      <w:pPr>
        <w:pStyle w:val="Caption"/>
      </w:pPr>
      <w:r>
        <w:t>Источник: studio/examples/research-data.json. Данные вымышленные; рисунок показывает только свойства этого набора.</w:t>
      </w:r>
    </w:p>
    <w:p>
      <w:r>
        <w:br w:type="page"/>
      </w:r>
    </w:p>
    <w:p>
      <w:pPr>
        <w:pStyle w:val="Title"/>
      </w:pPr>
      <w:r>
        <w:t>Методология и исходные данные</w:t>
      </w:r>
    </w:p>
    <w:p>
      <w:r>
        <w:t>Единица наблюдения — время подготовки одного условного отчёта. Выборки заданы независимо. Номера строк нужны для воспроизведения таблицы и не означают пары участников. Дата выпуска примера — 22 октября 2026 года; периода реального наблюдения у него нет.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Строка</w:t>
            </w:r>
          </w:p>
        </w:tc>
        <w:tc>
          <w:tcPr>
            <w:tcW w:type="dxa" w:w="3408"/>
          </w:tcPr>
          <w:p>
            <w:r>
              <w:t>Контроль, мин</w:t>
            </w:r>
          </w:p>
        </w:tc>
        <w:tc>
          <w:tcPr>
            <w:tcW w:type="dxa" w:w="3408"/>
          </w:tcPr>
          <w:p>
            <w:r>
              <w:t>Поддержка, мин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42</w:t>
            </w:r>
          </w:p>
        </w:tc>
        <w:tc>
          <w:tcPr>
            <w:tcW w:type="dxa" w:w="3408"/>
          </w:tcPr>
          <w:p>
            <w:r>
              <w:t>31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39</w:t>
            </w:r>
          </w:p>
        </w:tc>
        <w:tc>
          <w:tcPr>
            <w:tcW w:type="dxa" w:w="3408"/>
          </w:tcPr>
          <w:p>
            <w:r>
              <w:t>28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45</w:t>
            </w:r>
          </w:p>
        </w:tc>
        <w:tc>
          <w:tcPr>
            <w:tcW w:type="dxa" w:w="3408"/>
          </w:tcPr>
          <w:p>
            <w:r>
              <w:t>34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44</w:t>
            </w:r>
          </w:p>
        </w:tc>
        <w:tc>
          <w:tcPr>
            <w:tcW w:type="dxa" w:w="3408"/>
          </w:tcPr>
          <w:p>
            <w:r>
              <w:t>30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40</w:t>
            </w:r>
          </w:p>
        </w:tc>
        <w:tc>
          <w:tcPr>
            <w:tcW w:type="dxa" w:w="3408"/>
          </w:tcPr>
          <w:p>
            <w:r>
              <w:t>29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41</w:t>
            </w:r>
          </w:p>
        </w:tc>
        <w:tc>
          <w:tcPr>
            <w:tcW w:type="dxa" w:w="3408"/>
          </w:tcPr>
          <w:p>
            <w:r>
              <w:t>32</w:t>
            </w:r>
          </w:p>
        </w:tc>
      </w:tr>
    </w:tbl>
    <w:p>
      <w:pPr>
        <w:pStyle w:val="Heading1"/>
      </w:pPr>
      <w:r>
        <w:t>Как получены медианы</w:t>
      </w:r>
    </w:p>
    <w:p>
      <w:r>
        <w:t>После сортировки контрольная выборка имеет вид 39, 40, 41, 42, 44, 45. Медиана равна (41 + 42) / 2 = 41,5. Во второй выборке 28, 29, 30, 31, 32, 34 медиана равна (30 + 31) / 2 = 30,5. Разница: 41,5 − 30,5 = 11 минут.</w:t>
      </w:r>
    </w:p>
    <w:p>
      <w:r>
        <w:t>Отношение разницы к контрольной медиане составляет около 26,5%. Эта арифметическая характеристика вымышленных данных не является оценкой реального повышения эффективности.</w:t>
      </w:r>
    </w:p>
    <w:p>
      <w:pPr>
        <w:pStyle w:val="Heading1"/>
      </w:pPr>
      <w:r>
        <w:t>Воспроизводимость</w:t>
      </w:r>
    </w:p>
    <w:p>
      <w:r>
        <w:t>В XLSX лист Raw содержит исходные значения, Analysis — редактируемые формулы COUNT, MEDIAN, AVERAGE, MIN, MAX и SUM, а Sources — происхождение набора. Формулы пересчитаны офисным движком; результаты отдельно сопоставлены с исходными рядами.</w:t>
      </w:r>
    </w:p>
    <w:p>
      <w:r>
        <w:br w:type="page"/>
      </w:r>
    </w:p>
    <w:p>
      <w:pPr>
        <w:pStyle w:val="Title"/>
      </w:pPr>
      <w:r>
        <w:t>Границы выводов</w:t>
      </w:r>
    </w:p>
    <w:p>
      <w:r>
        <w:t>В этом примере не было отбора из популяции, рандомизации или измерения реальной работы. Нельзя оценить причинный эффект, устойчивость результата или его применимость к другой задаче. Малый размер вымышленных выборок не исправляется более точным оформлением диаграммы.</w:t>
      </w:r>
    </w:p>
    <w:p>
      <w:pPr>
        <w:pStyle w:val="Heading1"/>
      </w:pPr>
      <w:r>
        <w:t>Что проверять в реальном исследовании</w:t>
      </w:r>
    </w:p>
    <w:p>
      <w:pPr>
        <w:pStyle w:val="ListBullet"/>
      </w:pPr>
      <w:r>
        <w:t>Сопоставимость заданий, опыта участников и условий выполнения.</w:t>
      </w:r>
    </w:p>
    <w:p>
      <w:pPr>
        <w:pStyle w:val="ListBullet"/>
      </w:pPr>
      <w:r>
        <w:t>Правила измерения времени, пропуски и возможные систематические ошибки.</w:t>
      </w:r>
    </w:p>
    <w:p>
      <w:pPr>
        <w:pStyle w:val="ListBullet"/>
      </w:pPr>
      <w:r>
        <w:t>Дизайн контрольного сравнения и необходимый размер выборки.</w:t>
      </w:r>
    </w:p>
    <w:p>
      <w:pPr>
        <w:pStyle w:val="ListBullet"/>
      </w:pPr>
      <w:r>
        <w:t>Даты, первоисточники, определения метрик и альтернативные объяснения.</w:t>
      </w:r>
    </w:p>
    <w:p>
      <w:pPr>
        <w:pStyle w:val="Heading1"/>
      </w:pPr>
      <w:r>
        <w:t>Источники и комплект файлов</w:t>
      </w:r>
    </w:p>
    <w:p>
      <w:r>
        <w:t>Единственный источник чисел — локальный синтетический набор research-data.json. Внешние источники не использованы для подтверждения коммерческих или рыночных утверждений: таких утверждений в записке нет.</w:t>
      </w:r>
    </w:p>
    <w:p>
      <w:r>
        <w:t>Комплект: исходный JSON, расчёт analysis.json, редактируемый research-workbook.xlsx, исследовательская презентация PPTX, этот DOCX и его фактический PDF-экспорт. Визуальные и числовые проверки перечислены отдельно; автоматическая проверка не заменяет оценку смысловой корректности.</w:t>
      </w:r>
    </w:p>
    <w:p>
      <w:pPr>
        <w:pStyle w:val="Caption"/>
      </w:pPr>
      <w:r>
        <w:t>Идентификатор набора: synthetic-report-time-v1. Контрольный SHA-256 нормализованного JSON: 3343628587e780b98b1026b971f9f48b4b4fb6a4d4ddd9cedea2f85deaad9b77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Синтетический пример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INTTRADE / RESEARCH NOTE 01 / 22.10.2026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Inter" w:hAnsi="Inter" w:eastAsia="Inter" w:cs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Inter" w:hAnsi="Inter" w:eastAsia="Inter" w:cs="Inte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Inter" w:hAnsi="Inter" w:eastAsia="Inter" w:cs="Inte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ora" w:hAnsi="Lora" w:eastAsia="Lora" w:cs="Lora"/>
      <w:b/>
      <w:bCs/>
      <w:color w:val="253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ora" w:hAnsi="Lora" w:eastAsia="Lora" w:cs="Lora"/>
      <w:b/>
      <w:bCs/>
      <w:color w:val="253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ora" w:hAnsi="Lora" w:eastAsia="Lora" w:cs="Lora"/>
      <w:b/>
      <w:bCs/>
      <w:color w:val="253A4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ora" w:hAnsi="Lora" w:eastAsia="Lora" w:cs="Lora"/>
      <w:b/>
      <w:bCs/>
      <w:color w:val="253A4A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Lora" w:hAnsi="Lora" w:eastAsia="Lora" w:cs="Lora"/>
      <w:color w:val="253A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ora" w:hAnsi="Lora" w:eastAsia="Lora" w:cs="Lora"/>
      <w:color w:val="253A4A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hAnsi="Inter" w:eastAsia="Inter" w:cs="Inter"/>
      <w:i/>
      <w:iCs/>
      <w:color w:val="5268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eastAsia="Inter" w:cs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" w:hAnsi="Inter" w:eastAsia="Inter" w:cs="Inter"/>
      <w:b/>
      <w:bCs/>
      <w:color w:val="5268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Исследовательская записка — синтетический пример</dc:title>
  <dc:subject/>
  <dc:creator>IntTrade Research &amp; Design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