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Силабус MBA: Стратегія</w:t>
      </w:r>
    </w:p>
    <w:p>
      <w:r>
        <w:t xml:space="preserve">Kyiv School of Economics — course syllabus, 2026.</w:t>
      </w:r>
    </w:p>
    <w:p>
      <w:pPr>
        <w:pStyle w:val="Heading1"/>
      </w:pPr>
      <w:r>
        <w:t xml:space="preserve">1. Загальна інформація</w:t>
      </w:r>
    </w:p>
    <w:p>
      <w:r>
        <w:t xml:space="preserve">Курс триває 10 тижнів і має письмовий іспит. Викладач пояснює принципи стратегічного менеджменту, аналіз конкурентного середовища та прийняття управлінських рішень. Студенти застосовують отримані знання у практичних кейсах українських компаній і презентують результати командної роботи.</w:t>
      </w:r>
    </w:p>
    <w:p>
      <w:pPr>
        <w:pStyle w:val="ListParagraph"/>
        <w:numPr>
          <w:ilvl w:val="0"/>
          <w:numId w:val="1"/>
        </w:numPr>
      </w:pPr>
      <w:r>
        <w:t xml:space="preserve">Командна робота</w:t>
      </w:r>
    </w:p>
    <w:p>
      <w:pPr>
        <w:pStyle w:val="ListParagraph"/>
        <w:numPr>
          <w:ilvl w:val="0"/>
          <w:numId w:val="1"/>
        </w:numPr>
      </w:pPr>
      <w:r>
        <w:t xml:space="preserve">Evaluate strategic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Тиждень</w:t>
            </w:r>
          </w:p>
        </w:tc>
        <w:tc>
          <w:p>
            <w:r>
              <w:t xml:space="preserve">Тема</w:t>
            </w:r>
          </w:p>
        </w:tc>
        <w:tc>
          <w:p>
            <w:r>
              <w:t xml:space="preserve">Кейс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Стратегія</w:t>
            </w:r>
          </w:p>
        </w:tc>
        <w:tc>
          <w:p>
            <w:r>
              <w:t xml:space="preserve">Nova Poshta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Аналіз галузі</w:t>
            </w:r>
          </w:p>
        </w:tc>
        <w:tc>
          <w:p>
            <w:r>
              <w:t xml:space="preserve">Monobank</w:t>
            </w:r>
          </w:p>
        </w:tc>
      </w:tr>
    </w:tbl>
    <w:p>
      <w:pPr>
        <w:pStyle w:val="Heading1"/>
        <w:pageBreakBefore/>
      </w:pPr>
      <w:r>
        <w:t xml:space="preserve">2. Політики курсу</w:t>
      </w:r>
    </w:p>
    <w:p>
      <w:r>
        <w:t xml:space="preserve">Академічна доброчесність: плагіат неприпустимий.</w:t>
      </w:r>
    </w:p>
    <w:p>
      <w:r>
        <w:t xml:space="preserve">Assessment includes cases, participation and a final exam.</w:t>
      </w:r>
    </w:p>
    <w:p>
      <w:pPr>
        <w:pStyle w:val="Heading1"/>
        <w:pageBreakBefore/>
      </w:pPr>
      <w:r>
        <w:t xml:space="preserve">3. Результати навчання</w:t>
      </w:r>
    </w:p>
    <w:p>
      <w:r>
        <w:t xml:space="preserve">Формулювати стратегію розвитку бізнесу.</w:t>
      </w:r>
    </w:p>
    <w:p>
      <w:r>
        <w:t xml:space="preserve">Students analyse data and justify management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2026-10-15T11:10:10.241Z</dcterms:created>
  <dcterms:modified xsi:type="dcterms:W3CDTF">2026-10-15T11:10:10.242Z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