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Negotiation and Influence Course Syllabus</w:t>
      </w:r>
    </w:p>
    <w:p>
      <w:pPr>
        <w:pStyle w:val="Heading1"/>
      </w:pPr>
      <w:r>
        <w:t xml:space="preserve">1. Summary</w:t>
      </w:r>
    </w:p>
    <w:p>
      <w:r>
        <w:t xml:space="preserve">Course Title: Negotiation and Influence</w:t>
      </w:r>
    </w:p>
    <w:p>
      <w:r>
        <w:t xml:space="preserve">Prerequisites: none</w:t>
      </w:r>
    </w:p>
    <w:p>
      <w:r>
        <w:t xml:space="preserve">Short Course Description: Negotiation is part of every manager’s week. This course gives you a practical toolkit for preparing, running and reviewing negotiations with clients, partners and teams.</w:t>
      </w:r>
    </w:p>
    <w:p>
      <w:r>
        <w:t xml:space="preserve">Course Objectives: The course helps you to understand negotiation.</w:t>
      </w:r>
    </w:p>
    <w:p>
      <w:r>
        <w:t xml:space="preserve">Learning Outcomes:</w:t>
      </w:r>
    </w:p>
    <w:p>
      <w:pPr>
        <w:pStyle w:val="ListParagraph"/>
        <w:numPr>
          <w:ilvl w:val="0"/>
          <w:numId w:val="1"/>
        </w:numPr>
      </w:pPr>
      <w:r>
        <w:t xml:space="preserve">Apply a preparation framework to a real negotiation</w:t>
      </w:r>
    </w:p>
    <w:p>
      <w:pPr>
        <w:pStyle w:val="ListParagraph"/>
        <w:numPr>
          <w:ilvl w:val="0"/>
          <w:numId w:val="1"/>
        </w:numPr>
      </w:pPr>
      <w:r>
        <w:t xml:space="preserve">Be familiar with influence tactics</w:t>
      </w:r>
    </w:p>
    <w:p>
      <w:r>
        <w:t xml:space="preserve">Connection to Capstone Project: The course helps you to negotiate resources and scope for your capstone project with its stakeholders.</w:t>
      </w:r>
    </w:p>
    <w:p>
      <w:pPr>
        <w:pStyle w:val="Heading1"/>
      </w:pPr>
      <w:r>
        <w:t xml:space="preserve">2. Instructor</w:t>
      </w:r>
    </w:p>
    <w:p>
      <w:r>
        <w:t xml:space="preserve">Jane Doe</w:t>
      </w:r>
    </w:p>
    <w:p>
      <w:r>
        <w:t xml:space="preserve">Associate professor of management</w:t>
      </w:r>
    </w:p>
    <w:p>
      <w:r>
        <w:t xml:space="preserve">E-mail: jane.doe@example.org</w:t>
      </w:r>
    </w:p>
    <w:p>
      <w:r>
        <w:t xml:space="preserve">Areas of Expertise:</w:t>
      </w:r>
    </w:p>
    <w:p>
      <w:pPr>
        <w:pStyle w:val="ListParagraph"/>
        <w:numPr>
          <w:ilvl w:val="0"/>
          <w:numId w:val="1"/>
        </w:numPr>
      </w:pPr>
      <w:r>
        <w:t xml:space="preserve">Negotiation</w:t>
      </w:r>
    </w:p>
    <w:p>
      <w:pPr>
        <w:pStyle w:val="ListParagraph"/>
        <w:numPr>
          <w:ilvl w:val="0"/>
          <w:numId w:val="1"/>
        </w:numPr>
      </w:pPr>
      <w:r>
        <w:t xml:space="preserve">Organisational behaviour</w:t>
      </w:r>
    </w:p>
    <w:p>
      <w:pPr>
        <w:pStyle w:val="Heading1"/>
      </w:pPr>
      <w:r>
        <w:t xml:space="preserve">3. Course Structure &amp;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</w:tcPr>
          <w:p>
            <w:r>
              <w:t xml:space="preserve">Date</w:t>
            </w:r>
          </w:p>
        </w:tc>
        <w:tc>
          <w:tcPr>
            <w:tcW w:type="dxa" w:w="2200"/>
          </w:tcPr>
          <w:p>
            <w:r>
              <w:t xml:space="preserve">Topic</w:t>
            </w:r>
          </w:p>
        </w:tc>
        <w:tc>
          <w:tcPr>
            <w:tcW w:type="dxa" w:w="2200"/>
          </w:tcPr>
          <w:p>
            <w:r>
              <w:t xml:space="preserve">Format</w:t>
            </w:r>
          </w:p>
        </w:tc>
        <w:tc>
          <w:tcPr>
            <w:tcW w:type="dxa" w:w="2200"/>
          </w:tcPr>
          <w:p>
            <w:r>
              <w:t xml:space="preserve">Additional information</w:t>
            </w:r>
          </w:p>
        </w:tc>
      </w:tr>
      <w:tr>
        <w:tc>
          <w:tcPr>
            <w:tcW w:type="dxa" w:w="2200"/>
          </w:tcPr>
          <w:p>
            <w:r>
              <w:t xml:space="preserve">March 7, 2026 | 9.30 – 12.20 (4 ac. hours)</w:t>
            </w:r>
          </w:p>
        </w:tc>
        <w:tc>
          <w:tcPr>
            <w:tcW w:type="dxa" w:w="2200"/>
          </w:tcPr>
          <w:p>
            <w:r>
              <w:t xml:space="preserve">Preparing a negotiation</w:t>
            </w:r>
          </w:p>
        </w:tc>
        <w:tc>
          <w:tcPr>
            <w:tcW w:type="dxa" w:w="2200"/>
          </w:tcPr>
          <w:p>
            <w:r>
              <w:t xml:space="preserve">online</w:t>
            </w:r>
          </w:p>
        </w:tc>
        <w:tc>
          <w:tcPr>
            <w:tcW w:type="dxa" w:w="2200"/>
          </w:tcPr>
          <w:p>
            <w:r>
              <w:t xml:space="preserve">Required reading: Getting to Yes, ch. 1</w:t>
            </w:r>
          </w:p>
        </w:tc>
      </w:tr>
      <w:tr>
        <w:tc>
          <w:tcPr>
            <w:tcW w:type="dxa" w:w="2200"/>
          </w:tcPr>
          <w:p>
            <w:r>
              <w:t xml:space="preserve">March 8, 2026 | 9.30 – 12.20 (4 ac. hours)</w:t>
            </w:r>
          </w:p>
        </w:tc>
        <w:tc>
          <w:tcPr>
            <w:tcW w:type="dxa" w:w="2200"/>
          </w:tcPr>
          <w:p>
            <w:r>
              <w:t xml:space="preserve">Influence and persuasion</w:t>
            </w:r>
          </w:p>
        </w:tc>
        <w:tc>
          <w:tcPr>
            <w:tcW w:type="dxa" w:w="2200"/>
          </w:tcPr>
          <w:p>
            <w:r>
              <w:t xml:space="preserve">online</w:t>
            </w:r>
          </w:p>
        </w:tc>
        <w:tc>
          <w:tcPr>
            <w:tcW w:type="dxa" w:w="2200"/>
          </w:tcPr>
          <w:p>
            <w:r>
              <w:t xml:space="preserve"/>
            </w:r>
          </w:p>
        </w:tc>
      </w:tr>
      <w:tr>
        <w:tc>
          <w:tcPr>
            <w:tcW w:type="dxa" w:w="2200"/>
          </w:tcPr>
          <w:p>
            <w:r>
              <w:t xml:space="preserve">March 14, 2026 | 9.30 – 11.10 (2 ac. hours)</w:t>
            </w:r>
          </w:p>
        </w:tc>
        <w:tc>
          <w:tcPr>
            <w:tcW w:type="dxa" w:w="2200"/>
          </w:tcPr>
          <w:p>
            <w:r>
              <w:t xml:space="preserve">Negotiation simulation</w:t>
            </w:r>
          </w:p>
        </w:tc>
        <w:tc>
          <w:tcPr>
            <w:tcW w:type="dxa" w:w="2200"/>
          </w:tcPr>
          <w:p>
            <w:r>
              <w:t xml:space="preserve">online</w:t>
            </w:r>
          </w:p>
        </w:tc>
        <w:tc>
          <w:tcPr>
            <w:tcW w:type="dxa" w:w="2200"/>
          </w:tcPr>
          <w:p>
            <w:r>
              <w:t xml:space="preserve"/>
            </w:r>
          </w:p>
        </w:tc>
      </w:tr>
    </w:tbl>
    <w:p>
      <w:r>
        <w:t xml:space="preserve">Individual work:</w:t>
      </w:r>
    </w:p>
    <w:p>
      <w:r>
        <w:t xml:space="preserve">Reading of the mandatory materials (3 hours)</w:t>
      </w:r>
    </w:p>
    <w:p>
      <w:r>
        <w:t xml:space="preserve">Preparation for the final negotiation (5 hours)</w:t>
      </w:r>
    </w:p>
    <w:p>
      <w:pPr>
        <w:pStyle w:val="Heading1"/>
      </w:pPr>
      <w:r>
        <w:t xml:space="preserve">4. Assessment and Grading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</w:tcPr>
          <w:p>
            <w:r>
              <w:t xml:space="preserve">Assessment Component</w:t>
            </w:r>
          </w:p>
        </w:tc>
        <w:tc>
          <w:tcPr>
            <w:tcW w:type="dxa" w:w="2200"/>
          </w:tcPr>
          <w:p>
            <w:r>
              <w:t xml:space="preserve">Weight (%)</w:t>
            </w:r>
          </w:p>
        </w:tc>
        <w:tc>
          <w:tcPr>
            <w:tcW w:type="dxa" w:w="2200"/>
          </w:tcPr>
          <w:p>
            <w:r>
              <w:t xml:space="preserve">Performance Criteria</w:t>
            </w:r>
          </w:p>
        </w:tc>
        <w:tc>
          <w:tcPr>
            <w:tcW w:type="dxa" w:w="2200"/>
          </w:tcPr>
          <w:p>
            <w:r>
              <w:t xml:space="preserve">Deadline</w:t>
            </w:r>
          </w:p>
        </w:tc>
      </w:tr>
      <w:tr>
        <w:tc>
          <w:tcPr>
            <w:tcW w:type="dxa" w:w="2200"/>
          </w:tcPr>
          <w:p>
            <w:r>
              <w:t xml:space="preserve">Class participation</w:t>
            </w:r>
          </w:p>
        </w:tc>
        <w:tc>
          <w:tcPr>
            <w:tcW w:type="dxa" w:w="2200"/>
          </w:tcPr>
          <w:p>
            <w:r>
              <w:t xml:space="preserve">20</w:t>
            </w:r>
          </w:p>
        </w:tc>
        <w:tc>
          <w:tcPr>
            <w:tcW w:type="dxa" w:w="2200"/>
          </w:tcPr>
          <w:p>
            <w:r>
              <w:t xml:space="preserve">Active contribution to discussions and simulations.</w:t>
            </w:r>
          </w:p>
        </w:tc>
        <w:tc>
          <w:tcPr>
            <w:tcW w:type="dxa" w:w="2200"/>
          </w:tcPr>
          <w:p>
            <w:r>
              <w:t xml:space="preserve">Throughout the course</w:t>
            </w:r>
          </w:p>
        </w:tc>
      </w:tr>
      <w:tr>
        <w:tc>
          <w:tcPr>
            <w:tcW w:type="dxa" w:w="2200"/>
          </w:tcPr>
          <w:p>
            <w:r>
              <w:t xml:space="preserve">Negotiation simulation</w:t>
            </w:r>
          </w:p>
        </w:tc>
        <w:tc>
          <w:tcPr>
            <w:tcW w:type="dxa" w:w="2200"/>
          </w:tcPr>
          <w:p>
            <w:r>
              <w:t xml:space="preserve">30</w:t>
            </w:r>
          </w:p>
        </w:tc>
        <w:tc>
          <w:tcPr>
            <w:tcW w:type="dxa" w:w="2200"/>
          </w:tcPr>
          <w:p>
            <w:r>
              <w:t xml:space="preserve">Quality of preparation and of the agreement reached.</w:t>
            </w:r>
          </w:p>
        </w:tc>
        <w:tc>
          <w:tcPr>
            <w:tcW w:type="dxa" w:w="2200"/>
          </w:tcPr>
          <w:p>
            <w:r>
              <w:t xml:space="preserve">14.03.26</w:t>
            </w:r>
          </w:p>
        </w:tc>
      </w:tr>
      <w:tr>
        <w:tc>
          <w:tcPr>
            <w:tcW w:type="dxa" w:w="2200"/>
          </w:tcPr>
          <w:p>
            <w:r>
              <w:t xml:space="preserve">Final negotiation plan</w:t>
            </w:r>
          </w:p>
        </w:tc>
        <w:tc>
          <w:tcPr>
            <w:tcW w:type="dxa" w:w="2200"/>
          </w:tcPr>
          <w:p>
            <w:r>
              <w:t xml:space="preserve">50</w:t>
            </w:r>
          </w:p>
        </w:tc>
        <w:tc>
          <w:tcPr>
            <w:tcW w:type="dxa" w:w="2200"/>
          </w:tcPr>
          <w:p>
            <w:r>
              <w:t xml:space="preserve">A negotiation plan for a real case, with a BATNA analysis.</w:t>
            </w:r>
          </w:p>
        </w:tc>
        <w:tc>
          <w:tcPr>
            <w:tcW w:type="dxa" w:w="2200"/>
          </w:tcPr>
          <w:p>
            <w:r>
              <w:t xml:space="preserve">28.03.26</w:t>
            </w:r>
          </w:p>
        </w:tc>
      </w:tr>
    </w:tbl>
    <w:p>
      <w:pPr>
        <w:pStyle w:val="Heading1"/>
      </w:pPr>
      <w:r>
        <w:t xml:space="preserve">5. Course Materials</w:t>
      </w:r>
    </w:p>
    <w:p>
      <w:r>
        <w:t xml:space="preserve">Required Readings/Materials:</w:t>
      </w:r>
    </w:p>
    <w:p>
      <w:r>
        <w:t xml:space="preserve">Fisher R., Ury W. Getting to Yes. Penguin, 2011.</w:t>
      </w:r>
    </w:p>
    <w:p>
      <w:r>
        <w:t xml:space="preserve">Recommended:</w:t>
      </w:r>
    </w:p>
    <w:p>
      <w:r>
        <w:t xml:space="preserve">Cialdini R. Influence: The Psychology of Persuasion. Harper Business, 2021.</w:t>
      </w:r>
    </w:p>
    <w:p>
      <w:pPr>
        <w:pStyle w:val="Heading1"/>
      </w:pPr>
      <w:r>
        <w:t xml:space="preserve">6. Course Policies</w:t>
      </w:r>
    </w:p>
    <w:p>
      <w:r>
        <w:t xml:space="preserve">Attendance is mandatory. If a student misses more than 40% of classes, they will be required to retake the course unless explicitly agreed otherwise with the instructor.</w:t>
      </w:r>
    </w:p>
    <w:p>
      <w:r>
        <w:t xml:space="preserve">Work submitted late is accepted until the next class, with a lower maximum score.</w:t>
      </w:r>
    </w:p>
    <w:p>
      <w:r>
        <w:t xml:space="preserve">To pass the course a student must earn at least 60 points out of 100.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 test fixtures</dc:creator>
  <cp:lastModifiedBy>Un-named</cp:lastModifiedBy>
  <cp:revision>1</cp:revision>
  <dcterms:created xsi:type="dcterms:W3CDTF">2026-10-28T10:05:05.260Z</dcterms:created>
  <dcterms:modified xsi:type="dcterms:W3CDTF">2026-10-28T10:05:05.260Z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