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776C9"/>
        </w:rPr>
        <w:t>INFORME TÉCNICO DE DISEÑO  ·  OCTUBRE 2026</w:t>
      </w:r>
    </w:p>
    <w:p>
      <w:pPr>
        <w:pStyle w:val="Title"/>
      </w:pPr>
      <w:r>
        <w:t>CONVOCA</w:t>
      </w:r>
    </w:p>
    <w:p>
      <w:pPr>
        <w:pStyle w:val="Heading1"/>
      </w:pPr>
      <w:r>
        <w:t>Plan de mejora visual y navegación común de la familia RedUniv</w:t>
      </w:r>
    </w:p>
    <w:p>
      <w:r>
        <w:rPr>
          <w:color w:val="4B6278"/>
        </w:rPr>
        <w:t>Entregable para el equipo de proyecto · Revisión de CONVOCA, CONECTA y APRENDE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02B46"/>
          </w:tcPr>
          <w:p>
            <w:pPr>
              <w:spacing w:before="260" w:after="260"/>
            </w:pPr>
            <w:r/>
            <w:r>
              <w:rPr>
                <w:b/>
                <w:color w:val="FFFFFF"/>
                <w:sz w:val="26"/>
              </w:rPr>
              <w:t>UN MENÚ COHERENTE.  UNA PORTADA CON MEJOR JERARQUÍA.</w:t>
            </w:r>
          </w:p>
        </w:tc>
      </w:tr>
    </w:tbl>
    <w:p>
      <w:r>
        <w:rPr>
          <w:b/>
        </w:rPr>
        <w:t>Objetivo.</w:t>
      </w:r>
      <w:r>
        <w:t xml:space="preserve"> Establecer criterios implementables para unificar el encabezado público de las plataformas RedUniv, corregir la repetición de iconos académicos y equilibrar el uso de superficies claras en CONVOCA.</w:t>
      </w:r>
    </w:p>
    <w:p>
      <w:pPr>
        <w:pStyle w:val="Heading2"/>
      </w:pPr>
      <w:r>
        <w:t>Acuerdos de diseño propuestos</w:t>
      </w:r>
    </w:p>
    <w:p>
      <w:r>
        <w:t>•  Navegación común: fondo azul #102B46 a ancho completo, contenido centrado hasta 1280 px.</w:t>
      </w:r>
    </w:p>
    <w:p>
      <w:r>
        <w:t>•  Altura del encabezado: 72 px en escritorio y 64 px en móvil; controles y textos específicos por portal.</w:t>
      </w:r>
    </w:p>
    <w:p>
      <w:r>
        <w:t>•  CONVOCA: alternancia cromática por secciones, tarjetas más expresivas y cinco iconos diferenciados.</w:t>
      </w:r>
    </w:p>
    <w:p>
      <w:r>
        <w:t>•  Se entregan prototipo HTML autocontenido, recursos SVG, CSS y una matriz de aceptación para desarrollo.</w:t>
      </w:r>
    </w:p>
    <w:p>
      <w:pPr>
        <w:pStyle w:val="Heading2"/>
      </w:pPr>
      <w:r>
        <w:t>Alcance y condición de aprobación</w:t>
      </w:r>
    </w:p>
    <w:p>
      <w:r>
        <w:t>Es una propuesta de normalización visual, no un cambio ejecutado en producción. Las URL públicas permiten verificar textos y estructura; la captura aportada confirma la repetición de iconos en CONVOCA. No se dispuso de medición del CSS calculado de las tres cabeceras: los colores, anchos y alturas aquí indicados son especificaciones recomendadas, no mediciones de lo desplegado.</w:t>
      </w:r>
    </w:p>
    <w:p>
      <w:pPr>
        <w:pStyle w:val="Caption"/>
      </w:pPr>
      <w:r>
        <w:t>Sitios: convocatorias.reduniv.edu.cu · conecta.reduniv.edu.cu · cursos.reduniv.edu.cu/es</w:t>
      </w:r>
    </w:p>
    <w:p>
      <w:r>
        <w:br w:type="page"/>
      </w:r>
    </w:p>
    <w:p>
      <w:pPr>
        <w:pStyle w:val="Heading1"/>
      </w:pPr>
      <w:r>
        <w:t>01  /  Diagnóstico de la familia</w:t>
      </w:r>
    </w:p>
    <w:p>
      <w:r>
        <w:t>La identidad visual propuesta en los kits comparte paleta, tipografías y una gramática de marca, pero la aplicación en los sitios requiere un estándar común de navegación. El menú no debe tener el mismo contenido: debe compartir geometría, color, tipografía y estados.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Portal</w:t>
            </w:r>
          </w:p>
        </w:tc>
        <w:tc>
          <w:tcPr>
            <w:tcW w:type="dxa" w:w="3969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Situación verificable</w:t>
            </w:r>
          </w:p>
        </w:tc>
        <w:tc>
          <w:tcPr>
            <w:tcW w:type="dxa" w:w="3969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Acción recomendada</w:t>
            </w:r>
          </w:p>
        </w:tc>
      </w:tr>
      <w:tr>
        <w:tc>
          <w:tcPr>
            <w:tcW w:type="dxa" w:w="1701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CONVOCA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Portada de programas y admisiones; navegación: Programas / Cómo funciona / Iniciar sesión / Crear cuenta.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Prioridad 1: contrastar jerarquía de la portada, navbar y cinco iconos.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CONECTA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La portada pública consultada conserva denominaciones “Red MES” y presenta un formulario de inicio de sesión.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Adoptar el estilo del encabezado, adaptado a pantalla de acceso y revisar denominación.</w:t>
            </w:r>
          </w:p>
        </w:tc>
      </w:tr>
      <w:tr>
        <w:tc>
          <w:tcPr>
            <w:tcW w:type="dxa" w:w="1701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APRENDE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La portada pública consultada aún se presenta como “Cursos en Línea”, con enlaces EN e Iniciar Sesión.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Unificar barra superior y revisar nombre visible/metadatos cuando se despliegue APRENDE.</w:t>
            </w:r>
          </w:p>
        </w:tc>
      </w:tr>
    </w:tbl>
    <w:p/>
    <w:p>
      <w:pPr>
        <w:pStyle w:val="Heading2"/>
      </w:pPr>
      <w:r>
        <w:t>Hallazgos visuales de CONVOCA</w:t>
      </w:r>
    </w:p>
    <w:p>
      <w:r>
        <w:t>•  Cinco tarjetas blancas sobre un fondo muy claro: limpieza adecuada, pero escaso ritmo y diferenciación.</w:t>
      </w:r>
    </w:p>
    <w:p>
      <w:r>
        <w:t>•  Cinco iconos de birrete iguales según la captura aportada: no ayudan a reconocer las categorías.</w:t>
      </w:r>
    </w:p>
    <w:p>
      <w:r>
        <w:t>•  El manual v1.0 mantenía un reparto orientativo con predominio de superficies claras y no fijó un mapeo obligatorio de iconos: responsabilidad compartida entre diseño y desarrollo.</w:t>
      </w:r>
    </w:p>
    <w:p>
      <w:r>
        <w:t>•  No se recomienda reescribir la información ni alterar los flujos de postulación: el trabajo debe centrarse en presentación y coherencia transversal.</w:t>
      </w:r>
    </w:p>
    <w:p>
      <w:pPr>
        <w:pStyle w:val="Heading2"/>
      </w:pPr>
      <w:r>
        <w:t>Principio rector</w:t>
      </w:r>
    </w:p>
    <w:p>
      <w:r>
        <w:t>Conservar identidad y legibilidad sin oscurecerlo todo. El menú debe ser un ancla consistente; las secciones deben alternar blancos y azules en función de su contenido, no por decoración.</w:t>
      </w:r>
    </w:p>
    <w:p>
      <w:r>
        <w:br w:type="page"/>
      </w:r>
    </w:p>
    <w:p>
      <w:pPr>
        <w:pStyle w:val="Heading1"/>
      </w:pPr>
      <w:r>
        <w:t>02  /  Estándar propuesto de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Propiedad</w:t>
            </w:r>
          </w:p>
        </w:tc>
        <w:tc>
          <w:tcPr>
            <w:tcW w:type="dxa" w:w="7370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Especificación objetivo</w:t>
            </w:r>
          </w:p>
        </w:tc>
      </w:tr>
      <w:tr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Superficie externa</w:t>
            </w:r>
          </w:p>
        </w:tc>
        <w:tc>
          <w:tcPr>
            <w:tcW w:type="dxa" w:w="7370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Ancho 100 % del viewport, color #102B46; borde inferior sutil opcional.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Contenedor interno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max-width: 1280 px; margen auto; padding lateral 24 px escritorio / 16 px móvil.</w:t>
            </w:r>
          </w:p>
        </w:tc>
      </w:tr>
      <w:tr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Alto</w:t>
            </w:r>
          </w:p>
        </w:tc>
        <w:tc>
          <w:tcPr>
            <w:tcW w:type="dxa" w:w="7370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72 px escritorio, 64 px móvil. No usar un menú de 100 % de ancho con links dispersos.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Logotipo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Versión inversa de cada marca; altura óptica comparable y punto menta.</w:t>
            </w:r>
          </w:p>
        </w:tc>
      </w:tr>
      <w:tr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Enlaces y CTA</w:t>
            </w:r>
          </w:p>
        </w:tc>
        <w:tc>
          <w:tcPr>
            <w:tcW w:type="dxa" w:w="7370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Enlaces blancos, foco/activo menta; acción principal menta #49DCCB con texto #0C1D30.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Responsive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Ajustar o colapsar navegación de manera funcional; evitar ocultar sin alternativa.</w:t>
            </w:r>
          </w:p>
        </w:tc>
      </w:tr>
      <w:tr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Comportamiento</w:t>
            </w:r>
          </w:p>
        </w:tc>
        <w:tc>
          <w:tcPr>
            <w:tcW w:type="dxa" w:w="7370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Sticky solo si aporta usabilidad; no obligatorio. Sin saltos al cambiar entre páginas.</w:t>
            </w:r>
          </w:p>
        </w:tc>
      </w:tr>
    </w:tbl>
    <w:p/>
    <w:p>
      <w:pPr>
        <w:pStyle w:val="Heading2"/>
      </w:pPr>
      <w:r>
        <w:t>Vista comparativa de la propuesta</w:t>
      </w:r>
    </w:p>
    <w:p>
      <w:r>
        <w:drawing>
          <wp:inline xmlns:a="http://schemas.openxmlformats.org/drawingml/2006/main" xmlns:pic="http://schemas.openxmlformats.org/drawingml/2006/picture">
            <wp:extent cx="5976000" cy="244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a-n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4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Prototipo ilustrativo de navegación normalizada: el fondo oscuro y la geometría se comparten; los enlaces cambian entre plataformas.</w:t>
      </w:r>
    </w:p>
    <w:p>
      <w:r>
        <w:br w:type="page"/>
      </w:r>
    </w:p>
    <w:p>
      <w:pPr>
        <w:pStyle w:val="Heading1"/>
      </w:pPr>
      <w:r>
        <w:t>03  /  Rebalance de CONVOCA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Sección actual</w:t>
            </w:r>
          </w:p>
        </w:tc>
        <w:tc>
          <w:tcPr>
            <w:tcW w:type="dxa" w:w="3969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Tratamiento propuesto</w:t>
            </w:r>
          </w:p>
        </w:tc>
        <w:tc>
          <w:tcPr>
            <w:tcW w:type="dxa" w:w="2835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28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Hero principal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Azul #102B46 o #0C1D30; mantener texto blanco y acento menta.</w:t>
            </w:r>
          </w:p>
        </w:tc>
        <w:tc>
          <w:tcPr>
            <w:tcW w:type="dxa" w:w="28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Anclar la identidad y dirigir la primera acción.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Una oportunidad / Nuevos caminos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Blanco con pasos claros, separadores y numeración.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Dar descanso visual tras el hero.</w:t>
            </w:r>
          </w:p>
        </w:tc>
      </w:tr>
      <w:tr>
        <w:tc>
          <w:tcPr>
            <w:tcW w:type="dxa" w:w="28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Formación para seguir creciendo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Fondo #F5F9FC; tarjetas blancas con borde #D8E5ED y sombras discretas.</w:t>
            </w:r>
          </w:p>
        </w:tc>
        <w:tc>
          <w:tcPr>
            <w:tcW w:type="dxa" w:w="28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Crear contraste de superficie sin perder limpieza.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Explora. Postula. Avanza.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Blanco; tres bloques #F5F9FC con señal lateral menta.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Diferenciar las etapas del proceso.</w:t>
            </w:r>
          </w:p>
        </w:tc>
      </w:tr>
      <w:tr>
        <w:tc>
          <w:tcPr>
            <w:tcW w:type="dxa" w:w="28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Espacio institucional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Azul #102B46 con contraste blanco y CTA destacado.</w:t>
            </w:r>
          </w:p>
        </w:tc>
        <w:tc>
          <w:tcPr>
            <w:tcW w:type="dxa" w:w="28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Cerrar con un punto de atención institucional.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Footer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Azul noche #0C1D30.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Cierre visual coherente.</w:t>
            </w:r>
          </w:p>
        </w:tc>
      </w:tr>
    </w:tbl>
    <w:p/>
    <w:p>
      <w:pPr>
        <w:pStyle w:val="Heading2"/>
      </w:pPr>
      <w:r>
        <w:t>Composición propuesta</w:t>
      </w:r>
    </w:p>
    <w:p>
      <w:r>
        <w:drawing>
          <wp:inline xmlns:a="http://schemas.openxmlformats.org/drawingml/2006/main" xmlns:pic="http://schemas.openxmlformats.org/drawingml/2006/picture">
            <wp:extent cx="5976000" cy="39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Imagen de prototipo ilustrativo. No incorpora ni modifica la aplicación existente.</w:t>
      </w:r>
    </w:p>
    <w:p>
      <w:r>
        <w:br w:type="page"/>
      </w:r>
    </w:p>
    <w:p>
      <w:pPr>
        <w:pStyle w:val="Heading1"/>
      </w:pPr>
      <w:r>
        <w:t>04  /  Iconografía académica y componentes</w:t>
      </w:r>
    </w:p>
    <w:p>
      <w:r>
        <w:t>Mantener trazo uniforme, 24-28 px, grosor cercano a 1.8 y azul de acción #2776C9. Propuesta SVG incluida en el paquete; cada categoría debe recibir su propio icono y un nombre accesible.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3969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Símbolo sugerido</w:t>
            </w:r>
          </w:p>
        </w:tc>
        <w:tc>
          <w:tcPr>
            <w:tcW w:type="dxa" w:w="3402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Equivalente Lucide</w:t>
            </w:r>
          </w:p>
        </w:tc>
      </w:tr>
      <w:tr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Cursos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Libro abierto</w:t>
            </w:r>
          </w:p>
        </w:tc>
        <w:tc>
          <w:tcPr>
            <w:tcW w:type="dxa" w:w="3402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book-open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Diplomados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Reconocimiento / diploma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award</w:t>
            </w:r>
          </w:p>
        </w:tc>
      </w:tr>
      <w:tr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Especialidades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Objetivo / especialización</w:t>
            </w:r>
          </w:p>
        </w:tc>
        <w:tc>
          <w:tcPr>
            <w:tcW w:type="dxa" w:w="3402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target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Maestrías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Birrete universitario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graduation-cap</w:t>
            </w:r>
          </w:p>
        </w:tc>
      </w:tr>
      <w:tr>
        <w:tc>
          <w:tcPr>
            <w:tcW w:type="dxa" w:w="2268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Doctorados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Investigación / microscopio</w:t>
            </w:r>
          </w:p>
        </w:tc>
        <w:tc>
          <w:tcPr>
            <w:tcW w:type="dxa" w:w="3402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microscope</w:t>
            </w:r>
          </w:p>
        </w:tc>
      </w:tr>
    </w:tbl>
    <w:p/>
    <w:p>
      <w:pPr>
        <w:pStyle w:val="Heading2"/>
      </w:pPr>
      <w:r>
        <w:t>Especificaciones de tarjetas</w:t>
      </w:r>
    </w:p>
    <w:p>
      <w:r>
        <w:t>•  Fondo blanco; borde #D8E5ED de 1 px y radio de 16-20 px.</w:t>
      </w:r>
    </w:p>
    <w:p>
      <w:r>
        <w:t>•  Superficie del icono #EAF3FC; icono azul #2776C9; mantener proporción y alineación.</w:t>
      </w:r>
    </w:p>
    <w:p>
      <w:r>
        <w:t>•  Hover moderado, navegación por teclado con foco visible y clic sobre toda la tarjeta.</w:t>
      </w:r>
    </w:p>
    <w:p>
      <w:r>
        <w:t>•  En pantallas estrechas: no recortar títulos ni ocultar categorías; adaptar columnas y alturas.</w:t>
      </w:r>
    </w:p>
    <w:p>
      <w:pPr>
        <w:pStyle w:val="Heading2"/>
      </w:pPr>
      <w:r>
        <w:t>Accesibilidad de color</w:t>
      </w:r>
    </w:p>
    <w:p>
      <w:r>
        <w:t>Contraste calculado de la paleta: blanco sobre #102B46 ≈ 14,42:1; #0C1D30 sobre #49DCCB ≈ 9:1; #2776C9 sobre blanco ≈ 4,64:1. La menta sobre blanco es ≈ 1,70:1 y NO debe usarse para texto pequeño. Verificar WCAG 2.2 AA y tamaños reales en producción.</w:t>
      </w:r>
    </w:p>
    <w:p>
      <w:pPr>
        <w:pStyle w:val="Heading2"/>
      </w:pPr>
      <w:r>
        <w:t>Tipografía y adaptación</w:t>
      </w:r>
    </w:p>
    <w:p>
      <w:r>
        <w:t>Inter como tipografía primaria y IBM Plex Mono para datos/etiquetas técnicas; usar fallbacks web. La nav debe conservar jerarquía y tamaño táctil suficiente en móvil. Evitar cambios globales de clases que afecten login, dashboard o componentes internos sin revisión.</w:t>
      </w:r>
    </w:p>
    <w:p>
      <w:r>
        <w:br w:type="page"/>
      </w:r>
    </w:p>
    <w:p>
      <w:pPr>
        <w:pStyle w:val="Heading1"/>
      </w:pPr>
      <w:r>
        <w:t>05  /  Implementación y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3969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4535"/>
            <w:vAlign w:val="center"/>
            <w:shd w:fill="102B46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Criterio de cierre</w:t>
            </w:r>
          </w:p>
        </w:tc>
      </w:tr>
      <w:tr>
        <w:tc>
          <w:tcPr>
            <w:tcW w:type="dxa" w:w="1134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P0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Aplicar tokens y navbar normalizada a las tres cabeceras públicas.</w:t>
            </w:r>
          </w:p>
        </w:tc>
        <w:tc>
          <w:tcPr>
            <w:tcW w:type="dxa" w:w="45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Color, ancho, alto, logotipo y estados iguales en escritorio/móvil; contenido propio.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Actualizar iconos de CONVOCA.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Cinco tarjetas diferenciadas y SVG accesibles, sin pérdida funcional.</w:t>
            </w:r>
          </w:p>
        </w:tc>
      </w:tr>
      <w:tr>
        <w:tc>
          <w:tcPr>
            <w:tcW w:type="dxa" w:w="1134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P1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Equilibrar fondos y bloques de la portada.</w:t>
            </w:r>
          </w:p>
        </w:tc>
        <w:tc>
          <w:tcPr>
            <w:tcW w:type="dxa" w:w="45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No repetir superficies blancas extensas; contraste y jerarquía correctos.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Validar responsive y accesibilidad.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320/375/768/1024/1440 px; teclado, foco, lector, WCAG AA.</w:t>
            </w:r>
          </w:p>
        </w:tc>
      </w:tr>
      <w:tr>
        <w:tc>
          <w:tcPr>
            <w:tcW w:type="dxa" w:w="1134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P2</w:t>
            </w:r>
          </w:p>
        </w:tc>
        <w:tc>
          <w:tcPr>
            <w:tcW w:type="dxa" w:w="3969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Actualizar nombres visibles de CONECTA y APRENDE cuando se apruebe.</w:t>
            </w:r>
          </w:p>
        </w:tc>
        <w:tc>
          <w:tcPr>
            <w:tcW w:type="dxa" w:w="4535"/>
            <w:vAlign w:val="center"/>
            <w:shd w:fill="F5F9FC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Portada, metadata, títulos, login y pie de página coherentes.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P2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Reutilizar tokens y documentar variantes.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02B46"/>
                <w:sz w:val="16"/>
              </w:rPr>
              <w:t>Un archivo de tokens o componente consistente en cada repositorio.</w:t>
            </w:r>
          </w:p>
        </w:tc>
      </w:tr>
    </w:tbl>
    <w:p/>
    <w:p>
      <w:pPr>
        <w:pStyle w:val="Heading2"/>
      </w:pPr>
      <w:r>
        <w:t>Validación obligatoria antes de publicar</w:t>
      </w:r>
    </w:p>
    <w:p>
      <w:r>
        <w:t>☐  Capturas antes/después de los 3 sitios en 1440 y 375 px; comparación visual.</w:t>
      </w:r>
    </w:p>
    <w:p>
      <w:r>
        <w:t>☐  Prueba de rutas, autenticación y menú en estado activo; no introducir redirecciones ajenas.</w:t>
      </w:r>
    </w:p>
    <w:p>
      <w:r>
        <w:t>☐  Prueba con teclado y lector de pantalla; foco visible, contraste y clic táctil.</w:t>
      </w:r>
    </w:p>
    <w:p>
      <w:r>
        <w:t>☐  Confirmación explícita del equipo de producto antes del despliegue; registrar commit, fecha y responsables.</w:t>
      </w:r>
    </w:p>
    <w:p>
      <w:pPr>
        <w:pStyle w:val="Heading2"/>
      </w:pPr>
      <w:r>
        <w:t>Archivos entregados</w:t>
      </w:r>
    </w:p>
    <w:p>
      <w:r>
        <w:t>El ZIP incorpora este documento editable y PDF, prototipo de tres cabeceras y home CONVOCA, CSS inicial, iconos SVG y un checklist. Los CSS deben adaptarse a la arquitectura de frontend vigente; no constituyen una sustitución automática de las hojas de estilo actuales.</w:t>
      </w:r>
    </w:p>
    <w:p>
      <w:pPr>
        <w:pStyle w:val="Heading2"/>
      </w:pPr>
      <w:r>
        <w:t>Fuentes y límites</w:t>
      </w:r>
    </w:p>
    <w:p>
      <w:pPr>
        <w:pStyle w:val="Caption"/>
      </w:pPr>
      <w:r>
        <w:t>CONVOCA: https://convocatorias.reduniv.edu.cu/ (consultado 28/10/2026).</w:t>
      </w:r>
    </w:p>
    <w:p>
      <w:pPr>
        <w:pStyle w:val="Caption"/>
      </w:pPr>
      <w:r>
        <w:t>CONECTA: https://conecta.reduniv.edu.cu/ (consultado 28/10/2026).</w:t>
      </w:r>
    </w:p>
    <w:p>
      <w:pPr>
        <w:pStyle w:val="Caption"/>
      </w:pPr>
      <w:r>
        <w:t>APRENDE: https://cursos.reduniv.edu.cu/es (consultado 28/10/2026).</w:t>
      </w:r>
    </w:p>
    <w:p>
      <w:pPr>
        <w:pStyle w:val="Caption"/>
      </w:pPr>
      <w:r>
        <w:t>Captura de “Formación para seguir creciendo” aportada por el equipo.</w:t>
      </w:r>
    </w:p>
    <w:p>
      <w:pPr>
        <w:pStyle w:val="Caption"/>
      </w:pPr>
      <w:r>
        <w:t>Kits de marca CONECTA y CONVOCA v1.0.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6278"/>
        <w:sz w:val="16"/>
      </w:rPr>
      <w:t xml:space="preserve">DOCUMENTO DE TRABAJO · PROPUESTA v1.1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776C9"/>
        <w:sz w:val="16"/>
      </w:rPr>
      <w:t>REDUNIV  /  CONVOCA  /  UI · 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color w:val="102B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76C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B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B6278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