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Dirección del Producto</w:t>
        <w:br/>
        <w:t>Plataforma Nacional de Aprendizaje Digital</w:t>
      </w:r>
    </w:p>
    <w:p>
      <w:r>
        <w:t>Versión 1.0</w:t>
        <w:br/>
        <w:t>Documento para el Equipo de Desarrollo</w:t>
        <w:br/>
      </w:r>
    </w:p>
    <w:p>
      <w:pPr>
        <w:pStyle w:val="Heading1"/>
      </w:pPr>
      <w:r>
        <w:t>1. Propósito</w:t>
      </w:r>
    </w:p>
    <w:p>
      <w:r>
        <w:t>Este documento establece la dirección del producto. Todas las decisiones de arquitectura, diseño, desarrollo y pruebas deberán alinearse con esta visión. El objetivo no es construir un LMS tradicional, sino una plataforma moderna de aprendizaje digital evolucionable mediante releases.</w:t>
      </w:r>
    </w:p>
    <w:p>
      <w:pPr>
        <w:pStyle w:val="Heading1"/>
      </w:pPr>
      <w:r>
        <w:t>2. Visión</w:t>
      </w:r>
    </w:p>
    <w:p>
      <w:r>
        <w:t>La plataforma será un ecosistema para cursos abiertos, formación institucional y capacitación continua. Debe priorizar una experiencia simple para el estudiante y una administración eficiente para el personal académico.</w:t>
      </w:r>
    </w:p>
    <w:p>
      <w:pPr>
        <w:pStyle w:val="Heading1"/>
      </w:pPr>
      <w:r>
        <w:t>3. Principios</w:t>
      </w:r>
    </w:p>
    <w:p>
      <w:pPr>
        <w:pStyle w:val="ListBullet"/>
      </w:pPr>
      <w:r>
        <w:t>El estudiante es el centro del producto.</w:t>
      </w:r>
    </w:p>
    <w:p>
      <w:pPr>
        <w:pStyle w:val="ListBullet"/>
      </w:pPr>
      <w:r>
        <w:t>Simplicidad antes que cantidad de funcionalidades.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Experiencia similar a Coursera/edX, no a un LMS clásico.</w:t>
      </w:r>
    </w:p>
    <w:p>
      <w:pPr>
        <w:pStyle w:val="ListBullet"/>
      </w:pPr>
      <w:r>
        <w:t>Todas las nuevas funcionalidades deberán justificarse por valor al usuario.</w:t>
      </w:r>
    </w:p>
    <w:p>
      <w:pPr>
        <w:pStyle w:val="Heading1"/>
      </w:pPr>
      <w:r>
        <w:t>4. Objetivos del Producto</w:t>
      </w:r>
    </w:p>
    <w:p>
      <w:pPr>
        <w:pStyle w:val="ListBullet"/>
      </w:pPr>
      <w:r>
        <w:t>Publicar y administrar cursos.</w:t>
      </w:r>
    </w:p>
    <w:p>
      <w:pPr>
        <w:pStyle w:val="ListBullet"/>
      </w:pPr>
      <w:r>
        <w:t>Matricular estudiantes.</w:t>
      </w:r>
    </w:p>
    <w:p>
      <w:pPr>
        <w:pStyle w:val="ListBullet"/>
      </w:pPr>
      <w:r>
        <w:t>Consumir contenido multimedia.</w:t>
      </w:r>
    </w:p>
    <w:p>
      <w:pPr>
        <w:pStyle w:val="ListBullet"/>
      </w:pPr>
      <w:r>
        <w:t>Evaluar aprendizaje.</w:t>
      </w:r>
    </w:p>
    <w:p>
      <w:pPr>
        <w:pStyle w:val="ListBullet"/>
      </w:pPr>
      <w:r>
        <w:t>Emitir certificados.</w:t>
      </w:r>
    </w:p>
    <w:p>
      <w:pPr>
        <w:pStyle w:val="ListBullet"/>
      </w:pPr>
      <w:r>
        <w:t>Generar información para la toma de decisiones.</w:t>
      </w:r>
    </w:p>
    <w:p>
      <w:pPr>
        <w:pStyle w:val="Heading1"/>
      </w:pPr>
      <w:r>
        <w:t>5. Alcance funcional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Estado esperado</w:t>
            </w:r>
          </w:p>
        </w:tc>
      </w:tr>
      <w:tr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Completo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Completo</w:t>
            </w:r>
          </w:p>
        </w:tc>
      </w:tr>
      <w:tr>
        <w:tc>
          <w:tcPr>
            <w:tcW w:type="dxa" w:w="2880"/>
          </w:tcPr>
          <w:p>
            <w:r>
              <w:t>CMS Cursos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Operativo</w:t>
            </w:r>
          </w:p>
        </w:tc>
      </w:tr>
      <w:tr>
        <w:tc>
          <w:tcPr>
            <w:tcW w:type="dxa" w:w="2880"/>
          </w:tcPr>
          <w:p>
            <w:r>
              <w:t>CMS Sesiones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Operativo</w:t>
            </w:r>
          </w:p>
        </w:tc>
      </w:tr>
      <w:tr>
        <w:tc>
          <w:tcPr>
            <w:tcW w:type="dxa" w:w="2880"/>
          </w:tcPr>
          <w:p>
            <w:r>
              <w:t>Videos por URL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Operativo</w:t>
            </w:r>
          </w:p>
        </w:tc>
      </w:tr>
      <w:tr>
        <w:tc>
          <w:tcPr>
            <w:tcW w:type="dxa" w:w="2880"/>
          </w:tcPr>
          <w:p>
            <w:r>
              <w:t>Evaluaciones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Operativo</w:t>
            </w:r>
          </w:p>
        </w:tc>
      </w:tr>
      <w:tr>
        <w:tc>
          <w:tcPr>
            <w:tcW w:type="dxa" w:w="2880"/>
          </w:tcPr>
          <w:p>
            <w:r>
              <w:t>Certificados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Operativo</w:t>
            </w:r>
          </w:p>
        </w:tc>
      </w:tr>
      <w:tr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Básico</w:t>
            </w:r>
          </w:p>
        </w:tc>
      </w:tr>
      <w:tr>
        <w:tc>
          <w:tcPr>
            <w:tcW w:type="dxa" w:w="2880"/>
          </w:tcPr>
          <w:p>
            <w:r>
              <w:t>Reportes</w:t>
            </w:r>
          </w:p>
        </w:tc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Intermedio</w:t>
            </w:r>
          </w:p>
        </w:tc>
      </w:tr>
      <w:tr>
        <w:tc>
          <w:tcPr>
            <w:tcW w:type="dxa" w:w="2880"/>
          </w:tcPr>
          <w:p>
            <w:r>
              <w:t>Banco de preguntas</w:t>
            </w:r>
          </w:p>
        </w:tc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Completo</w:t>
            </w:r>
          </w:p>
        </w:tc>
      </w:tr>
      <w:tr>
        <w:tc>
          <w:tcPr>
            <w:tcW w:type="dxa" w:w="2880"/>
          </w:tcPr>
          <w:p>
            <w:r>
              <w:t>Analítica</w:t>
            </w:r>
          </w:p>
        </w:tc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Completo</w:t>
            </w:r>
          </w:p>
        </w:tc>
      </w:tr>
      <w:tr>
        <w:tc>
          <w:tcPr>
            <w:tcW w:type="dxa" w:w="2880"/>
          </w:tcPr>
          <w:p>
            <w:r>
              <w:t>Cohortes</w:t>
            </w:r>
          </w:p>
        </w:tc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Completo</w:t>
            </w:r>
          </w:p>
        </w:tc>
      </w:tr>
      <w:tr>
        <w:tc>
          <w:tcPr>
            <w:tcW w:type="dxa" w:w="2880"/>
          </w:tcPr>
          <w:p>
            <w:r>
              <w:t>App móvil</w:t>
            </w:r>
          </w:p>
        </w:tc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</w:tr>
    </w:tbl>
    <w:p>
      <w:pPr>
        <w:pStyle w:val="Heading1"/>
      </w:pPr>
      <w:r>
        <w:t>6. Roadmap</w:t>
      </w:r>
    </w:p>
    <w:p>
      <w:pPr>
        <w:pStyle w:val="Heading2"/>
      </w:pPr>
      <w:r>
        <w:t>Release 1 - Plataforma Base</w:t>
      </w:r>
    </w:p>
    <w:p>
      <w:pPr>
        <w:pStyle w:val="ListBullet"/>
      </w:pPr>
      <w:r>
        <w:t>Nuevo nombre e identidad.</w:t>
      </w:r>
    </w:p>
    <w:p>
      <w:pPr>
        <w:pStyle w:val="ListBullet"/>
      </w:pPr>
      <w:r>
        <w:t>Catálogo público.</w:t>
      </w:r>
    </w:p>
    <w:p>
      <w:pPr>
        <w:pStyle w:val="ListBullet"/>
      </w:pPr>
      <w:r>
        <w:t>Registro/Login.</w:t>
      </w:r>
    </w:p>
    <w:p>
      <w:pPr>
        <w:pStyle w:val="ListBullet"/>
      </w:pPr>
      <w:r>
        <w:t>Panel administrador.</w:t>
      </w:r>
    </w:p>
    <w:p>
      <w:pPr>
        <w:pStyle w:val="ListBullet"/>
      </w:pPr>
      <w:r>
        <w:t>Creación y edición de cursos.</w:t>
      </w:r>
    </w:p>
    <w:p>
      <w:pPr>
        <w:pStyle w:val="ListBullet"/>
      </w:pPr>
      <w:r>
        <w:t>Creación de módulos y sesiones.</w:t>
      </w:r>
    </w:p>
    <w:p>
      <w:pPr>
        <w:pStyle w:val="ListBullet"/>
      </w:pPr>
      <w:r>
        <w:t>Gestión básica de pagos.</w:t>
      </w:r>
    </w:p>
    <w:p>
      <w:pPr>
        <w:pStyle w:val="ListBullet"/>
      </w:pPr>
      <w:r>
        <w:t>Evaluaciones.</w:t>
      </w:r>
    </w:p>
    <w:p>
      <w:pPr>
        <w:pStyle w:val="ListBullet"/>
      </w:pPr>
      <w:r>
        <w:t>Certificados.</w:t>
      </w:r>
    </w:p>
    <w:p>
      <w:pPr>
        <w:pStyle w:val="ListBullet"/>
      </w:pPr>
      <w:r>
        <w:t>Pruebas E2E críticas.</w:t>
      </w:r>
    </w:p>
    <w:p>
      <w:pPr>
        <w:pStyle w:val="Heading2"/>
      </w:pPr>
      <w:r>
        <w:t>Release 2 - Gestión Académica</w:t>
      </w:r>
    </w:p>
    <w:p>
      <w:pPr>
        <w:pStyle w:val="ListBullet"/>
      </w:pPr>
      <w:r>
        <w:t>CMS completo.</w:t>
      </w:r>
    </w:p>
    <w:p>
      <w:pPr>
        <w:pStyle w:val="ListBullet"/>
      </w:pPr>
      <w:r>
        <w:t>Banco de preguntas.</w:t>
      </w:r>
    </w:p>
    <w:p>
      <w:pPr>
        <w:pStyle w:val="ListBullet"/>
      </w:pPr>
      <w:r>
        <w:t>Reportes.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Gestión de instructores.</w:t>
      </w:r>
    </w:p>
    <w:p>
      <w:pPr>
        <w:pStyle w:val="Heading2"/>
      </w:pPr>
      <w:r>
        <w:t>Release 3 - Experiencia</w:t>
      </w:r>
    </w:p>
    <w:p>
      <w:pPr>
        <w:pStyle w:val="ListBullet"/>
      </w:pPr>
      <w:r>
        <w:t>Dashboard enriquecido.</w:t>
      </w:r>
    </w:p>
    <w:p>
      <w:pPr>
        <w:pStyle w:val="ListBullet"/>
      </w:pPr>
      <w:r>
        <w:t>Búsqueda avanzada.</w:t>
      </w:r>
    </w:p>
    <w:p>
      <w:pPr>
        <w:pStyle w:val="ListBullet"/>
      </w:pPr>
      <w:r>
        <w:t>Recomendaciones.</w:t>
      </w:r>
    </w:p>
    <w:p>
      <w:pPr>
        <w:pStyle w:val="ListBullet"/>
      </w:pPr>
      <w:r>
        <w:t>Analítica básica.</w:t>
      </w:r>
    </w:p>
    <w:p>
      <w:pPr>
        <w:pStyle w:val="Heading2"/>
      </w:pPr>
      <w:r>
        <w:t>Release 4 - Institucional</w:t>
      </w:r>
    </w:p>
    <w:p>
      <w:pPr>
        <w:pStyle w:val="ListBullet"/>
      </w:pPr>
      <w:r>
        <w:t>Cohortes.</w:t>
      </w:r>
    </w:p>
    <w:p>
      <w:pPr>
        <w:pStyle w:val="ListBullet"/>
      </w:pPr>
      <w:r>
        <w:t>Ediciones.</w:t>
      </w:r>
    </w:p>
    <w:p>
      <w:pPr>
        <w:pStyle w:val="ListBullet"/>
      </w:pPr>
      <w:r>
        <w:t>Integraciones.</w:t>
      </w:r>
    </w:p>
    <w:p>
      <w:pPr>
        <w:pStyle w:val="ListBullet"/>
      </w:pPr>
      <w:r>
        <w:t>Automatización de procesos.</w:t>
      </w:r>
    </w:p>
    <w:p>
      <w:pPr>
        <w:pStyle w:val="Heading2"/>
      </w:pPr>
      <w:r>
        <w:t>Release 5 - Ecosistema</w:t>
      </w:r>
    </w:p>
    <w:p>
      <w:pPr>
        <w:pStyle w:val="ListBullet"/>
      </w:pPr>
      <w:r>
        <w:t>Aplicación móvil.</w:t>
      </w:r>
    </w:p>
    <w:p>
      <w:pPr>
        <w:pStyle w:val="ListBullet"/>
      </w:pPr>
      <w:r>
        <w:t>IA.</w:t>
      </w:r>
    </w:p>
    <w:p>
      <w:pPr>
        <w:pStyle w:val="ListBullet"/>
      </w:pPr>
      <w:r>
        <w:t>Marketplace.</w:t>
      </w:r>
    </w:p>
    <w:p>
      <w:pPr>
        <w:pStyle w:val="ListBullet"/>
      </w:pPr>
      <w:r>
        <w:t>Integraciones externas.</w:t>
      </w:r>
    </w:p>
    <w:p>
      <w:pPr>
        <w:pStyle w:val="Heading1"/>
      </w:pPr>
      <w:r>
        <w:t>7. Arquitectura</w:t>
      </w:r>
    </w:p>
    <w:p>
      <w:r>
        <w:t>Arquitectura objetivo:</w:t>
        <w:br/>
        <w:br/>
        <w:t>Cliente Web</w:t>
        <w:br/>
        <w:t>↓</w:t>
        <w:br/>
        <w:t>Next.js</w:t>
        <w:br/>
        <w:t>↓</w:t>
        <w:br/>
        <w:t>API</w:t>
        <w:br/>
        <w:t>↓</w:t>
        <w:br/>
        <w:t>PostgreSQL</w:t>
        <w:br/>
        <w:t>↓</w:t>
        <w:br/>
        <w:t>Storage</w:t>
        <w:br/>
        <w:br/>
        <w:t>Se evitarán reescrituras. La evolución será incremental.</w:t>
      </w:r>
    </w:p>
    <w:p>
      <w:pPr>
        <w:pStyle w:val="Heading1"/>
      </w:pPr>
      <w:r>
        <w:t>8. Reglas de desarrollo</w:t>
      </w:r>
    </w:p>
    <w:p>
      <w:pPr>
        <w:pStyle w:val="ListBullet"/>
      </w:pPr>
      <w:r>
        <w:t>No desarrollar funcionalidades fuera del roadmap aprobado.</w:t>
      </w:r>
    </w:p>
    <w:p>
      <w:pPr>
        <w:pStyle w:val="ListBullet"/>
      </w:pPr>
      <w:r>
        <w:t>Todo desarrollo debe incluir pruebas.</w:t>
      </w:r>
    </w:p>
    <w:p>
      <w:pPr>
        <w:pStyle w:val="ListBullet"/>
      </w:pPr>
      <w:r>
        <w:t>Cada release debe cerrar deuda técnica crítica.</w:t>
      </w:r>
    </w:p>
    <w:p>
      <w:pPr>
        <w:pStyle w:val="ListBullet"/>
      </w:pPr>
      <w:r>
        <w:t>No romper compatibilidad sin aprobación.</w:t>
      </w:r>
    </w:p>
    <w:p>
      <w:pPr>
        <w:pStyle w:val="ListBullet"/>
      </w:pPr>
      <w:r>
        <w:t>Documentar APIs y componentes.</w:t>
      </w:r>
    </w:p>
    <w:p>
      <w:pPr>
        <w:pStyle w:val="Heading1"/>
      </w:pPr>
      <w:r>
        <w:t>9. Calidad</w:t>
      </w:r>
    </w:p>
    <w:p>
      <w:pPr>
        <w:pStyle w:val="ListBullet"/>
      </w:pPr>
      <w:r>
        <w:t>Playwright para flujos críticos.</w:t>
      </w:r>
    </w:p>
    <w:p>
      <w:pPr>
        <w:pStyle w:val="ListBullet"/>
      </w:pPr>
      <w:r>
        <w:t>Pruebas unitarias progresivas.</w:t>
      </w:r>
    </w:p>
    <w:p>
      <w:pPr>
        <w:pStyle w:val="ListBullet"/>
      </w:pPr>
      <w:r>
        <w:t>Pipeline CI/CD.</w:t>
      </w:r>
    </w:p>
    <w:p>
      <w:pPr>
        <w:pStyle w:val="ListBullet"/>
      </w:pPr>
      <w:r>
        <w:t>Revisión de código obligatoria.</w:t>
      </w:r>
    </w:p>
    <w:p>
      <w:pPr>
        <w:pStyle w:val="Heading1"/>
      </w:pPr>
      <w:r>
        <w:t>10. Identidad del producto</w:t>
      </w:r>
    </w:p>
    <w:p>
      <w:r>
        <w:t>El nombre provisional 'EdPlatform' deberá sustituirse antes del lanzamiento oficial. El equipo de producto definirá una nueva identidad de marca alineada con la estrategia institucional.</w:t>
      </w:r>
    </w:p>
    <w:p>
      <w:pPr>
        <w:pStyle w:val="Heading1"/>
      </w:pPr>
      <w:r>
        <w:t>11. Criterios de éxito</w:t>
      </w:r>
    </w:p>
    <w:p>
      <w:pPr>
        <w:pStyle w:val="ListBullet"/>
      </w:pPr>
      <w:r>
        <w:t>Experiencia intuitiva.</w:t>
      </w:r>
    </w:p>
    <w:p>
      <w:pPr>
        <w:pStyle w:val="ListBullet"/>
      </w:pPr>
      <w:r>
        <w:t>Operación estable.</w:t>
      </w:r>
    </w:p>
    <w:p>
      <w:pPr>
        <w:pStyle w:val="ListBullet"/>
      </w:pPr>
      <w:r>
        <w:t>Administración sencilla.</w:t>
      </w:r>
    </w:p>
    <w:p>
      <w:pPr>
        <w:pStyle w:val="ListBullet"/>
      </w:pPr>
      <w:r>
        <w:t>Escalabilidad.</w:t>
      </w:r>
    </w:p>
    <w:p>
      <w:pPr>
        <w:pStyle w:val="ListBullet"/>
      </w:pPr>
      <w:r>
        <w:t>Alta disponibilidad.</w:t>
      </w:r>
    </w:p>
    <w:p>
      <w:pPr>
        <w:pStyle w:val="ListBullet"/>
      </w:pPr>
      <w:r>
        <w:t>Facilidad para incorporar nuevos cursos.</w:t>
      </w:r>
    </w:p>
    <w:p>
      <w:pPr>
        <w:pStyle w:val="Heading1"/>
      </w:pPr>
      <w:r>
        <w:t>12. Conclusión</w:t>
      </w:r>
    </w:p>
    <w:p>
      <w:r>
        <w:t>Este documento deberá utilizarse como referencia para priorizar el backlog. Las decisiones técnicas deberán responder siempre a la visión del producto y al roadmap por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