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Plataforma</w:t>
      </w:r>
      <w:r>
        <w:t xml:space="preserve"> </w:t>
      </w:r>
      <w:r>
        <w:t xml:space="preserve">Integral</w:t>
      </w:r>
      <w:r>
        <w:t xml:space="preserve"> </w:t>
      </w:r>
      <w:r>
        <w:t xml:space="preserve">de</w:t>
      </w:r>
      <w:r>
        <w:t xml:space="preserve"> </w:t>
      </w:r>
      <w:r>
        <w:t xml:space="preserve">Gestión</w:t>
      </w:r>
      <w:r>
        <w:t xml:space="preserve"> </w:t>
      </w:r>
      <w:r>
        <w:t xml:space="preserve">de</w:t>
      </w:r>
      <w:r>
        <w:t xml:space="preserve"> </w:t>
      </w:r>
      <w:r>
        <w:t xml:space="preserve">Eventos</w:t>
      </w:r>
      <w:r>
        <w:t xml:space="preserve"> </w:t>
      </w:r>
      <w:r>
        <w:t xml:space="preserve">Científicos</w:t>
      </w:r>
    </w:p>
    <w:p>
      <w:pPr>
        <w:pStyle w:val="Subtitle"/>
      </w:pPr>
      <w:r>
        <w:t xml:space="preserve">Informe</w:t>
      </w:r>
      <w:r>
        <w:t xml:space="preserve"> </w:t>
      </w:r>
      <w:r>
        <w:t xml:space="preserve">comparativo,</w:t>
      </w:r>
      <w:r>
        <w:t xml:space="preserve"> </w:t>
      </w:r>
      <w:r>
        <w:t xml:space="preserve">catálogo</w:t>
      </w:r>
      <w:r>
        <w:t xml:space="preserve"> </w:t>
      </w:r>
      <w:r>
        <w:t xml:space="preserve">funcional</w:t>
      </w:r>
      <w:r>
        <w:t xml:space="preserve"> </w:t>
      </w:r>
      <w:r>
        <w:t xml:space="preserve">y</w:t>
      </w:r>
      <w:r>
        <w:t xml:space="preserve"> </w:t>
      </w: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arquitectura</w:t>
      </w:r>
      <w:r>
        <w:t xml:space="preserve"> </w:t>
      </w:r>
      <w:r>
        <w:t xml:space="preserve">—</w:t>
      </w:r>
      <w:r>
        <w:t xml:space="preserve"> </w:t>
      </w:r>
      <w:r>
        <w:t xml:space="preserve">versión</w:t>
      </w:r>
      <w:r>
        <w:t xml:space="preserve"> </w:t>
      </w:r>
      <w:r>
        <w:t xml:space="preserve">inicial</w:t>
      </w:r>
      <w:r>
        <w:t xml:space="preserve"> </w:t>
      </w:r>
      <w:r>
        <w:t xml:space="preserve">1.0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Se propone desarrollar desde cero una</w:t>
      </w:r>
      <w:r>
        <w:t xml:space="preserve"> </w:t>
      </w:r>
      <w:r>
        <w:rPr>
          <w:b/>
          <w:bCs/>
        </w:rPr>
        <w:t xml:space="preserve">plataforma integral, multiinstitución, multievento, multiidioma, modular y API-first</w:t>
      </w:r>
      <w:r>
        <w:t xml:space="preserve">, especializada en congresos científicos, convenciones académicas, simposios, talleres, escuelas de verano y eventos de investigación. No se limita a la inscripción y recepción de ponencias: abarcará planificación, convocatoria, revisión, inscripción, organización, celebración, acreditación, certificados, generación de memorias y preservación del patrimonio científico.</w:t>
      </w:r>
    </w:p>
    <w:p>
      <w:pPr>
        <w:pStyle w:val="BodyText"/>
      </w:pPr>
      <w:r>
        <w:t xml:space="preserve">Los principios rectores son: (1) cada evento tiene dominio, identidad visual, configuración, comités, formularios y reglas propios; (2) identidad común de personas con permisos independientes por evento; (3) español e inglés desde el inicio; (4) módulos extensibles como hospedaje y transportación; (5) API documentada e independiente del frontend web para soportar futuras APK; (6) galería navegable de pósteres; (7) memorias científicas publicables con metadatos persistentes; (8) credenciales y certificados verificables; (9) soberanía de despliegue y datos; (10) operación adecuada en entornos de conectividad limitada.</w:t>
      </w:r>
    </w:p>
    <w:p>
      <w:pPr>
        <w:pStyle w:val="BodyText"/>
      </w:pPr>
      <w:r>
        <w:rPr>
          <w:b/>
          <w:bCs/>
        </w:rPr>
        <w:t xml:space="preserve">Ciclo de vida:</w:t>
      </w:r>
      <w:r>
        <w:t xml:space="preserve"> </w:t>
      </w:r>
      <w:r>
        <w:t xml:space="preserve">planificación y creación → gestión científica → organización e inscripción → celebración presencial, virtual o híbrida → acreditación y certificación → publicación y preservación.</w:t>
      </w:r>
    </w:p>
    <w:p>
      <w:pPr>
        <w:pStyle w:val="BodyText"/>
      </w:pPr>
      <w:r>
        <w:t xml:space="preserve">Este documento es una propuesta inicial de arquitectura y alcance, no un diseño contractual cerrado. Deben validarse reglas científicas, necesidades editoriales, políticas financieras, capacidad y requisitos legales con los responsables del producto.</w:t>
      </w:r>
    </w:p>
    <w:bookmarkEnd w:id="20"/>
    <w:bookmarkStart w:id="40" w:name="X39c6bfb531d4f0a184558e43c9bf7313ae8c4c9"/>
    <w:p>
      <w:pPr>
        <w:pStyle w:val="Heading1"/>
      </w:pPr>
      <w:r>
        <w:t xml:space="preserve">1. Estudio comparativo de sistemas existentes</w:t>
      </w:r>
    </w:p>
    <w:bookmarkStart w:id="21" w:name="metodología-y-alcance"/>
    <w:p>
      <w:pPr>
        <w:pStyle w:val="Heading2"/>
      </w:pPr>
      <w:r>
        <w:t xml:space="preserve">1.1. Metodología y alcance</w:t>
      </w:r>
    </w:p>
    <w:p>
      <w:pPr>
        <w:pStyle w:val="FirstParagraph"/>
      </w:pPr>
      <w:r>
        <w:t xml:space="preserve">Se consideran tres tipos de producto:</w:t>
      </w:r>
      <w:r>
        <w:t xml:space="preserve"> </w:t>
      </w:r>
      <w:r>
        <w:rPr>
          <w:b/>
          <w:bCs/>
        </w:rPr>
        <w:t xml:space="preserve">código abierto</w:t>
      </w:r>
      <w:r>
        <w:t xml:space="preserve">, desplegable y modificable según licencia;</w:t>
      </w:r>
      <w:r>
        <w:t xml:space="preserve"> </w:t>
      </w:r>
      <w:r>
        <w:rPr>
          <w:b/>
          <w:bCs/>
        </w:rPr>
        <w:t xml:space="preserve">servicios gratuitos</w:t>
      </w:r>
      <w:r>
        <w:t xml:space="preserve">, que pueden ser propietarios; y</w:t>
      </w:r>
      <w:r>
        <w:t xml:space="preserve"> </w:t>
      </w:r>
      <w:r>
        <w:rPr>
          <w:b/>
          <w:bCs/>
        </w:rPr>
        <w:t xml:space="preserve">plataformas comerciales</w:t>
      </w:r>
      <w:r>
        <w:t xml:space="preserve">, cuyas capacidades dependen de la edición o contratación. La comparación presenta énfasis funcional documentado, no una certificación de todos los planes ni una prueba práctica de cada flujo.</w:t>
      </w:r>
    </w:p>
    <w:bookmarkEnd w:id="21"/>
    <w:bookmarkStart w:id="27" w:name="soluciones-libres-y-abiertas"/>
    <w:p>
      <w:pPr>
        <w:pStyle w:val="Heading2"/>
      </w:pPr>
      <w:r>
        <w:t xml:space="preserve">1.2. Soluciones libres y abiertas</w:t>
      </w:r>
    </w:p>
    <w:bookmarkStart w:id="22" w:name="indico-cern"/>
    <w:p>
      <w:pPr>
        <w:pStyle w:val="Heading3"/>
      </w:pPr>
      <w:r>
        <w:t xml:space="preserve">Indico (CERN)</w:t>
      </w:r>
    </w:p>
    <w:p>
      <w:pPr>
        <w:pStyle w:val="FirstParagraph"/>
      </w:pPr>
      <w:r>
        <w:t xml:space="preserve">Referente funcional principal para eventos académicos: congresos y reuniones, abstracts y papers, revisión, participantes, registro, cuotas y pagos según configuración, agenda, salas, acreditación y extensibilidad mediante plugins. Lección: modelar el ciclo académico completo y permitir extensiones. Sitios: https://getindico.io/ y https://github.com/indico/indico .</w:t>
      </w:r>
    </w:p>
    <w:bookmarkEnd w:id="22"/>
    <w:bookmarkStart w:id="23" w:name="pretalx"/>
    <w:p>
      <w:pPr>
        <w:pStyle w:val="Heading3"/>
      </w:pPr>
      <w:r>
        <w:t xml:space="preserve">pretalx</w:t>
      </w:r>
    </w:p>
    <w:p>
      <w:pPr>
        <w:pStyle w:val="FirstParagraph"/>
      </w:pPr>
      <w:r>
        <w:t xml:space="preserve">Especialmente sólido en Call for Papers, propuestas, evaluación colaborativa, ponentes, programación, salas, agenda pública y publicación de materiales. Lección: UX de convocatoria, revisión y programación. Sitios: https://pretalx.com/ y https://docs.pretalx.org/ .</w:t>
      </w:r>
    </w:p>
    <w:bookmarkEnd w:id="23"/>
    <w:bookmarkStart w:id="24" w:name="open-event-eventyay-fossasia"/>
    <w:p>
      <w:pPr>
        <w:pStyle w:val="Heading3"/>
      </w:pPr>
      <w:r>
        <w:t xml:space="preserve">Open Event / eventyay (FOSSASIA)</w:t>
      </w:r>
    </w:p>
    <w:p>
      <w:pPr>
        <w:pStyle w:val="FirstParagraph"/>
      </w:pPr>
      <w:r>
        <w:t xml:space="preserve">Gestiona eventos, agendas, sesiones, ponentes, entradas y clientes conectados mediante REST/JSON:API. Lección: contratos abiertos y desacoplamiento de clientes. Código: https://github.com/fossasia/open-event-server .</w:t>
      </w:r>
    </w:p>
    <w:bookmarkEnd w:id="24"/>
    <w:bookmarkStart w:id="25" w:name="pretix"/>
    <w:p>
      <w:pPr>
        <w:pStyle w:val="Heading3"/>
      </w:pPr>
      <w:r>
        <w:t xml:space="preserve">pretix</w:t>
      </w:r>
    </w:p>
    <w:p>
      <w:pPr>
        <w:pStyle w:val="FirstParagraph"/>
      </w:pPr>
      <w:r>
        <w:t xml:space="preserve">Enfoque en venta/gestión de entradas, tipos de boleto, controles de acceso, QR, listas de check-in, registro de accesos y APIs. Lección: no confundir inscripción con derecho de acceso. Sitios: https://pretix.eu/ y https://docs.pretix.eu/ .</w:t>
      </w:r>
    </w:p>
    <w:bookmarkEnd w:id="25"/>
    <w:bookmarkStart w:id="26" w:name="openreview"/>
    <w:p>
      <w:pPr>
        <w:pStyle w:val="Heading3"/>
      </w:pPr>
      <w:r>
        <w:t xml:space="preserve">OpenReview</w:t>
      </w:r>
    </w:p>
    <w:p>
      <w:pPr>
        <w:pStyle w:val="FirstParagraph"/>
      </w:pPr>
      <w:r>
        <w:t xml:space="preserve">Referente especializado en recepción y evaluación científica, discusión, decisiones y flujos editoriales configurables. No sustituye una plataforma integral de congresos. Sitio: https://openreview.net/ .</w:t>
      </w:r>
    </w:p>
    <w:bookmarkEnd w:id="26"/>
    <w:bookmarkEnd w:id="27"/>
    <w:bookmarkStart w:id="36" w:name="soluciones-científicas-propietarias"/>
    <w:p>
      <w:pPr>
        <w:pStyle w:val="Heading2"/>
      </w:pPr>
      <w:r>
        <w:t xml:space="preserve">1.3. Soluciones científicas propietarias</w:t>
      </w:r>
    </w:p>
    <w:bookmarkStart w:id="28" w:name="easychair"/>
    <w:p>
      <w:pPr>
        <w:pStyle w:val="Heading3"/>
      </w:pPr>
      <w:r>
        <w:t xml:space="preserve">EasyChair</w:t>
      </w:r>
    </w:p>
    <w:p>
      <w:pPr>
        <w:pStyle w:val="FirstParagraph"/>
      </w:pPr>
      <w:r>
        <w:t xml:space="preserve">Recepción de artículos, comités, tracks, preferencias y conflictos de revisores, asignaciones, evaluación, réplicas, decisiones, programa, proceedings e inscripciones según módulos/edición. Aporta profundidad del expediente editorial. https://easychair.org/conference_management .</w:t>
      </w:r>
    </w:p>
    <w:bookmarkEnd w:id="28"/>
    <w:bookmarkStart w:id="29" w:name="X6cb8e9b2224cbf961233127e7951f269b7831e9"/>
    <w:p>
      <w:pPr>
        <w:pStyle w:val="Heading3"/>
      </w:pPr>
      <w:r>
        <w:t xml:space="preserve">Microsoft Conference Management Toolkit (CMT)</w:t>
      </w:r>
    </w:p>
    <w:p>
      <w:pPr>
        <w:pStyle w:val="FirstParagraph"/>
      </w:pPr>
      <w:r>
        <w:t xml:space="preserve">Servicio de gestión científica, gratuito en ciertos escenarios pero no libre: revisores en niveles, asignación, conflictos, rúbricas, debate, decisiones, versiones finales, exportaciones y auditoría. Referente para revisión estructurada. https://cmtint.research.microsoft.com/About .</w:t>
      </w:r>
    </w:p>
    <w:bookmarkEnd w:id="29"/>
    <w:bookmarkStart w:id="30" w:name="conftool-pro"/>
    <w:p>
      <w:pPr>
        <w:pStyle w:val="Heading3"/>
      </w:pPr>
      <w:r>
        <w:t xml:space="preserve">ConfTool Pro</w:t>
      </w:r>
    </w:p>
    <w:p>
      <w:pPr>
        <w:pStyle w:val="FirstParagraph"/>
      </w:pPr>
      <w:r>
        <w:t xml:space="preserve">Recepción, evaluación, programación, inscripción, tarifas, facturación, pagos, comunicación y multiidioma con configuración avanzada. https://www.conftool.net/en/features.html .</w:t>
      </w:r>
    </w:p>
    <w:bookmarkEnd w:id="30"/>
    <w:bookmarkStart w:id="31" w:name="ex-ordo"/>
    <w:p>
      <w:pPr>
        <w:pStyle w:val="Heading3"/>
      </w:pPr>
      <w:r>
        <w:t xml:space="preserve">Ex Ordo</w:t>
      </w:r>
    </w:p>
    <w:p>
      <w:pPr>
        <w:pStyle w:val="FirstParagraph"/>
      </w:pPr>
      <w:r>
        <w:t xml:space="preserve">Integra propuestas, evaluación, programación con resolución de conflictos, inscripción, formatos híbridos, experiencia móvil y publicación de resultados. https://www.exordo.com/conference-management-software .</w:t>
      </w:r>
    </w:p>
    <w:bookmarkEnd w:id="31"/>
    <w:bookmarkStart w:id="32" w:name="oxford-abstracts"/>
    <w:p>
      <w:pPr>
        <w:pStyle w:val="Heading3"/>
      </w:pPr>
      <w:r>
        <w:t xml:space="preserve">Oxford Abstracts</w:t>
      </w:r>
    </w:p>
    <w:p>
      <w:pPr>
        <w:pStyle w:val="FirstParagraph"/>
      </w:pPr>
      <w:r>
        <w:t xml:space="preserve">Resúmenes, evaluación, agenda, pósteres digitales, comunidad, expositores y patrocinio; las funciones dependen del producto contratado. https://help.oxfordabstracts.com/knowledge/the-conference-platform .</w:t>
      </w:r>
    </w:p>
    <w:bookmarkEnd w:id="32"/>
    <w:bookmarkStart w:id="33" w:name="fourwaves"/>
    <w:p>
      <w:pPr>
        <w:pStyle w:val="Heading3"/>
      </w:pPr>
      <w:r>
        <w:t xml:space="preserve">Fourwaves</w:t>
      </w:r>
    </w:p>
    <w:p>
      <w:pPr>
        <w:pStyle w:val="FirstParagraph"/>
      </w:pPr>
      <w:r>
        <w:t xml:space="preserve">Sitios para congresos, resúmenes, revisión, registro, certificados, agenda, galería interactiva de e-pósteres, sesiones virtuales, analítica y APIs. Referencia especialmente importante para galería digital y experiencia del participante. https://fourwaves.com/ .</w:t>
      </w:r>
    </w:p>
    <w:bookmarkEnd w:id="33"/>
    <w:bookmarkStart w:id="34" w:name="openconf"/>
    <w:p>
      <w:pPr>
        <w:pStyle w:val="Heading3"/>
      </w:pPr>
      <w:r>
        <w:t xml:space="preserve">OpenConf</w:t>
      </w:r>
    </w:p>
    <w:p>
      <w:pPr>
        <w:pStyle w:val="FirstParagraph"/>
      </w:pPr>
      <w:r>
        <w:t xml:space="preserve">Ediciones de distintas características para envíos, revisiones y, según edición, programa, publicaciones, certificados y otras funciones. No presumir que edición gratuita equivale a código abierto sin restricciones. https://www.openconf.com/editions/ .</w:t>
      </w:r>
    </w:p>
    <w:bookmarkEnd w:id="34"/>
    <w:bookmarkStart w:id="35" w:name="dryfta"/>
    <w:p>
      <w:pPr>
        <w:pStyle w:val="Heading3"/>
      </w:pPr>
      <w:r>
        <w:t xml:space="preserve">Dryfta</w:t>
      </w:r>
    </w:p>
    <w:p>
      <w:pPr>
        <w:pStyle w:val="FirstParagraph"/>
      </w:pPr>
      <w:r>
        <w:t xml:space="preserve">Recepción/revisión de contribuciones, gestión de asistentes, agenda, networking, certificados, sesiones virtuales y estadísticas. https://dryfta.com/event-management-software/event-management-software-for-conference-events/ .</w:t>
      </w:r>
    </w:p>
    <w:bookmarkEnd w:id="35"/>
    <w:bookmarkEnd w:id="36"/>
    <w:bookmarkStart w:id="37" w:name="soluciones-generales-de-eventos"/>
    <w:p>
      <w:pPr>
        <w:pStyle w:val="Heading2"/>
      </w:pPr>
      <w:r>
        <w:t xml:space="preserve">1.4. Soluciones generales de eventos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tarifas, viajes, hospedaje, pagos, credenciales, kioscos, check-in y análisis.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móvil, agenda, networking, encuestas, avisos, acreditación y certificados.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EventMobi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para el participante, agenda, patrocinios y experiencia híbrida.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Exhibiciones virtuales, stands, salas y eventos híbridos.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Eventbrite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Entradas, registro y promoción.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complejos, sesiones y agenda personal.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 integración con procesos administrativos, CRM y ventas.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Grenadine Event 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de convenciones y sesiones complejas.</w:t>
            </w:r>
          </w:p>
        </w:tc>
      </w:tr>
    </w:tbl>
    <w:bookmarkEnd w:id="37"/>
    <w:bookmarkStart w:id="38" w:name="matriz-comparativa-orientativa"/>
    <w:p>
      <w:pPr>
        <w:pStyle w:val="Heading2"/>
      </w:pPr>
      <w:r>
        <w:t xml:space="preserve">1.5. Matriz comparativa orientativa</w:t>
      </w:r>
    </w:p>
    <w:p>
      <w:pPr>
        <w:pStyle w:val="FirstParagraph"/>
      </w:pPr>
      <w:r>
        <w:t xml:space="preserve">● = énfasis destacado; ◐ = capacidad parcial, dependiente de edición o integración; — = fuera de su foco principal. No sustituye verificación contractual.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Gestión científica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Organización integral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API/extensión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Experiencia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pretalx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EasyChair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CMT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ConfTool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 Ordo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 Abstracts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Fourwaves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Dryfta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</w:tr>
    </w:tbl>
    <w:bookmarkEnd w:id="38"/>
    <w:bookmarkStart w:id="39" w:name="síntesis-competitiva"/>
    <w:p>
      <w:pPr>
        <w:pStyle w:val="Heading2"/>
      </w:pPr>
      <w:r>
        <w:t xml:space="preserve">1.6. Síntesis competitiva</w:t>
      </w:r>
    </w:p>
    <w:p>
      <w:pPr>
        <w:pStyle w:val="FirstParagraph"/>
      </w:pPr>
      <w:r>
        <w:t xml:space="preserve">La revisión de trabajos no es un formulario: requiere estados, versiones, conflictos, auditoría y derechos de decisión. La organización debe integrar inscripción, programa, credenciales y comunicaciones. Los pósteres se convierten en objetos científicos buscables y permanentes. Hospedaje, transporte y patrocinio deben ser módulos separados. La propuesta distintiva será integrar gestión científica rigurosa, operación del evento y archivo/publicación del conocimiento, con API pública y control soberano del despliegue.</w:t>
      </w:r>
    </w:p>
    <w:bookmarkEnd w:id="39"/>
    <w:bookmarkEnd w:id="40"/>
    <w:bookmarkStart w:id="41" w:name="alcance-y-catálogo-maestro-funcional"/>
    <w:p>
      <w:pPr>
        <w:pStyle w:val="Heading1"/>
      </w:pPr>
      <w:r>
        <w:t xml:space="preserve">2. Alcance y catálogo maestro funcional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necesario para operar un evento científico de principio a fin;</w:t>
      </w:r>
      <w:r>
        <w:t xml:space="preserve"> </w:t>
      </w:r>
      <w:r>
        <w:rPr>
          <w:b/>
          <w:bCs/>
        </w:rPr>
        <w:t xml:space="preserve">P1:</w:t>
      </w:r>
      <w:r>
        <w:t xml:space="preserve"> </w:t>
      </w:r>
      <w:r>
        <w:t xml:space="preserve">ampliación prioritaria;</w:t>
      </w:r>
      <w:r>
        <w:t xml:space="preserve"> </w:t>
      </w:r>
      <w:r>
        <w:rPr>
          <w:b/>
          <w:bCs/>
        </w:rPr>
        <w:t xml:space="preserve">P2:</w:t>
      </w:r>
      <w:r>
        <w:t xml:space="preserve"> </w:t>
      </w:r>
      <w:r>
        <w:t xml:space="preserve">extensión avanzada. La asignación es orientativa y debe ajustarse por valor, capacidad del equipo y eventos piloto.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multievento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Organizaciones, eventos, series/ediciones, dominios, marca, fechas, sedes, zona horaria, módulos, plantillas y permisos.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público y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Páginas, noticias, convocatoria, comités, ponentes, SEO, menús, traducciones, publicación programada.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y 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login, OIDC/SSO, ORCID, afiliaciones, consentimientos y rol contextual por evento.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científica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Congreso, simposios, talleres, tracks, temáticas, mesas, comités, presidentes y secretarías.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Convocatoria y envíos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trabajo, formularios, abstracts, papers, posters, autores, archivos, versiones, validaciones.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científica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Revisores, conflictos, rúbricas, carga, asignación, evaluación ciega, correcciones y dictámenes.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Categorías, cupos, inscripción individual/grupal, presencial/virtual, confirmaciones, exportaciones.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científico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Salas, sesiones, ponencias, horarios, responsables, conflictos, agenda personal, publicación.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y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Diseño/impresión, QR, controles, reemisión, check-in y asistencia.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y constancias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Tipos, reglas de emisión, firmas, plantillas, QR, verificación, rectificación y revocación.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Galería de pósteres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Subida, validación, miniaturas, zoom, filtros, autores, sesiones, permisos y permanencia.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Memorias y publicaciones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Selección editorial, índices, composición, PDF/HTML, metadatos, DOI, licencias y versiones.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Correo, plantillas, envíos por segmento, notificaciones, recordatorios y bitácora.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científicos, operativos, asistencia, pagos y exportación.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 y 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Tarifas, monedas, descuentos, comprobantes, conciliación, facturas y reembolsos.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híbridos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Streaming, enlaces de videoconferencia, grabaciones, encuestas y preguntas.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Patrocinios y expositores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de patrocinio, logos, stands, espacios y estadísticas.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Hospedaje y transportación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Hoteles, cupos, reservas, itinerarios, arribos, vehículos, rutas y traslados.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Networking y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Directorios autorizados, reuniones, excursiones, acompañantes e incidencias.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Inteligencia asistiva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de revisores, detección de duplicados, clasificación, consulta semántica y análisis.</w:t>
            </w:r>
          </w:p>
        </w:tc>
      </w:tr>
    </w:tbl>
    <w:p>
      <w:pPr>
        <w:pStyle w:val="BodyText"/>
      </w:pPr>
      <w:r>
        <w:t xml:space="preserve">El núcleo P0 debe resultar operable y coherente, no ser veinte prototipos superficiales.</w:t>
      </w:r>
    </w:p>
    <w:bookmarkEnd w:id="41"/>
    <w:bookmarkStart w:id="47" w:name="Xf977b025344c56be22046ae60345a58f52be2b2"/>
    <w:p>
      <w:pPr>
        <w:pStyle w:val="Heading1"/>
      </w:pPr>
      <w:r>
        <w:t xml:space="preserve">3. Modelo multievento, multiinstitución y multiidioma</w:t>
      </w:r>
    </w:p>
    <w:bookmarkStart w:id="42" w:name="jerarquía"/>
    <w:p>
      <w:pPr>
        <w:pStyle w:val="Heading2"/>
      </w:pPr>
      <w:r>
        <w:t xml:space="preserve">3.1. Jerarquía</w:t>
      </w:r>
    </w:p>
    <w:p>
      <w:pPr>
        <w:pStyle w:val="FirstParagraph"/>
      </w:pPr>
      <w:r>
        <w:rPr>
          <w:b/>
          <w:bCs/>
        </w:rPr>
        <w:t xml:space="preserve">Plataforma → Organización/Tenant → Serie de evento → Edición → Evento/actividades dependientes</w:t>
      </w:r>
      <w:r>
        <w:t xml:space="preserve">. Cada nivel tiene un identificador inmutable. Una organización administra distintas ediciones y eventos; un evento puede contener simposios, talleres y sesiones. Las reglas de herencia y sobrescritura de configuraciones deberán quedar explícitas.</w:t>
      </w:r>
    </w:p>
    <w:bookmarkEnd w:id="42"/>
    <w:bookmarkStart w:id="43" w:name="identidad-y-presencia-por-evento"/>
    <w:p>
      <w:pPr>
        <w:pStyle w:val="Heading2"/>
      </w:pPr>
      <w:r>
        <w:t xml:space="preserve">3.2. Identidad y presencia por evento</w:t>
      </w:r>
    </w:p>
    <w:p>
      <w:pPr>
        <w:pStyle w:val="FirstParagraph"/>
      </w:pPr>
      <w:r>
        <w:t xml:space="preserve">Cada evento define: dominio principal y alias (por ejemplo,</w:t>
      </w:r>
      <w:r>
        <w:t xml:space="preserve"> </w:t>
      </w:r>
      <w:r>
        <w:rPr>
          <w:rStyle w:val="VerbatimChar"/>
        </w:rPr>
        <w:t xml:space="preserve">universidad2028.cu</w:t>
      </w:r>
      <w:r>
        <w:t xml:space="preserve">,</w:t>
      </w:r>
      <w:r>
        <w:t xml:space="preserve"> </w:t>
      </w:r>
      <w:r>
        <w:rPr>
          <w:rStyle w:val="VerbatimChar"/>
        </w:rPr>
        <w:t xml:space="preserve">congresociencia.cu</w:t>
      </w:r>
      <w:r>
        <w:t xml:space="preserve"> </w:t>
      </w:r>
      <w:r>
        <w:t xml:space="preserve">o una ruta institucional), nombre, acrónimo, logotipo, colores, tipografías, páginas, idiomas habilitados, comité, reglamento, sedes, agenda, tarifas, comunicaciones, certificados y publicaciones. La resolución del dominio selecciona el contexto;</w:t>
      </w:r>
      <w:r>
        <w:t xml:space="preserve"> </w:t>
      </w:r>
      <w:r>
        <w:rPr>
          <w:b/>
          <w:bCs/>
        </w:rPr>
        <w:t xml:space="preserve">no concede permisos por sí misma</w:t>
      </w:r>
      <w:r>
        <w:t xml:space="preserve">. Se requieren certificados TLS, DNS, validación de dominio, canonical URLs y políticas de aislamiento.</w:t>
      </w:r>
    </w:p>
    <w:bookmarkEnd w:id="43"/>
    <w:bookmarkStart w:id="44" w:name="X76685f471c7f34b5a4302f1b9a1281efefd8195"/>
    <w:p>
      <w:pPr>
        <w:pStyle w:val="Heading2"/>
      </w:pPr>
      <w:r>
        <w:t xml:space="preserve">3.3. Identidad compartida y pertenencia contextual</w:t>
      </w:r>
    </w:p>
    <w:p>
      <w:pPr>
        <w:pStyle w:val="FirstParagraph"/>
      </w:pPr>
      <w:r>
        <w:t xml:space="preserve">Una persona puede ser autor en un evento, revisor en otro, coordinador en un tercero y participante en varios. Su perfil maestro y afiliaciones pueden reutilizarse bajo reglas de privacidad, pero los roles y permisos no se heredan entre eventos.</w:t>
      </w:r>
      <w:r>
        <w:t xml:space="preserve"> </w:t>
      </w:r>
      <w:r>
        <w:rPr>
          <w:b/>
          <w:bCs/>
        </w:rPr>
        <w:t xml:space="preserve">Persona</w:t>
      </w:r>
      <w:r>
        <w:t xml:space="preserve">,</w:t>
      </w:r>
      <w:r>
        <w:t xml:space="preserve"> </w:t>
      </w:r>
      <w:r>
        <w:rPr>
          <w:b/>
          <w:bCs/>
        </w:rPr>
        <w:t xml:space="preserve">autoría</w:t>
      </w:r>
      <w:r>
        <w:t xml:space="preserve">,</w:t>
      </w:r>
      <w:r>
        <w:t xml:space="preserve"> </w:t>
      </w:r>
      <w:r>
        <w:rPr>
          <w:b/>
          <w:bCs/>
        </w:rPr>
        <w:t xml:space="preserve">inscripción</w:t>
      </w:r>
      <w:r>
        <w:t xml:space="preserve">,</w:t>
      </w:r>
      <w:r>
        <w:t xml:space="preserve"> </w:t>
      </w:r>
      <w:r>
        <w:rPr>
          <w:b/>
          <w:bCs/>
        </w:rPr>
        <w:t xml:space="preserve">revisión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credencial</w:t>
      </w:r>
      <w:r>
        <w:t xml:space="preserve"> </w:t>
      </w:r>
      <w:r>
        <w:t xml:space="preserve">son entidades distintas. Contemplar invitados que no tengan cuenta, cuentas que representan personas y conciliación de identidades duplicadas.</w:t>
      </w:r>
    </w:p>
    <w:bookmarkEnd w:id="44"/>
    <w:bookmarkStart w:id="45" w:name="configuración-declarativa"/>
    <w:p>
      <w:pPr>
        <w:pStyle w:val="Heading2"/>
      </w:pPr>
      <w:r>
        <w:t xml:space="preserve">3.4. Configuración declarativa</w:t>
      </w:r>
    </w:p>
    <w:p>
      <w:pPr>
        <w:pStyle w:val="FirstParagraph"/>
      </w:pPr>
      <w:r>
        <w:t xml:space="preserve">Un administrador debe poder configurar tipos de trabajo, formularios, cuotas, rondas de revisión, tipos de credenciales y certificados, reglas de asistencia, módulos, plantillas e idiomas sin cambiar el código. Utilizar esquemas versionados y validados; prohibir ejecución arbitraria de código del organizador.</w:t>
      </w:r>
    </w:p>
    <w:bookmarkEnd w:id="45"/>
    <w:bookmarkStart w:id="46" w:name="internacionalización"/>
    <w:p>
      <w:pPr>
        <w:pStyle w:val="Heading2"/>
      </w:pPr>
      <w:r>
        <w:t xml:space="preserve">3.5. Internacionalización</w:t>
      </w:r>
    </w:p>
    <w:p>
      <w:pPr>
        <w:pStyle w:val="FirstParagraph"/>
      </w:pPr>
      <w:r>
        <w:t xml:space="preserve">Español e inglés desde el día uno: textos de UI, CMS, formularios, plantillas, notificaciones, agenda, credenciales y metadatos. Idioma por evento y usuario, fallback explícito, zona horaria, convenciones de números/fechas/monedas y soporte de traducciones de contenido. Permitir metadatos multilingües sin exigir traducción del documento científico original.</w:t>
      </w:r>
    </w:p>
    <w:bookmarkEnd w:id="46"/>
    <w:bookmarkEnd w:id="47"/>
    <w:bookmarkStart w:id="52" w:name="gestión-científica"/>
    <w:p>
      <w:pPr>
        <w:pStyle w:val="Heading1"/>
      </w:pPr>
      <w:r>
        <w:t xml:space="preserve">4. Gestión científica</w:t>
      </w:r>
    </w:p>
    <w:bookmarkStart w:id="48" w:name="tipos-de-contribución-y-expediente"/>
    <w:p>
      <w:pPr>
        <w:pStyle w:val="Heading2"/>
      </w:pPr>
      <w:r>
        <w:t xml:space="preserve">4.1. Tipos de contribución y expediente</w:t>
      </w:r>
    </w:p>
    <w:p>
      <w:pPr>
        <w:pStyle w:val="FirstParagraph"/>
      </w:pPr>
      <w:r>
        <w:t xml:space="preserve">Resúmenes, abstracts extendidos, artículos completos, pósteres, conferencias magistrales, paneles, talleres, experiencias profesionales y propuestas de simposio. Cada registro debe conservar: título, resumen, palabras clave, idioma, área científica, autores/orden, correspondencia, afiliaciones, ORCID, declaraciones, archivos, historial de versiones, estados, revisiones y decisiones.</w:t>
      </w:r>
    </w:p>
    <w:bookmarkEnd w:id="48"/>
    <w:bookmarkStart w:id="49" w:name="flujo-científico"/>
    <w:p>
      <w:pPr>
        <w:pStyle w:val="Heading2"/>
      </w:pPr>
      <w:r>
        <w:t xml:space="preserve">4.2. Flujo científico</w:t>
      </w:r>
    </w:p>
    <w:p>
      <w:pPr>
        <w:pStyle w:val="FirstParagraph"/>
      </w:pPr>
      <w:r>
        <w:t xml:space="preserve">Borrador → envío → validación administrativa/editorial → elegibilidad para evaluación → asignación de revisores → evaluación → decisión → correcciones/segunda ronda si procede → versión definitiva → programación → presentación → elegibilidad editorial → publicación. Permitir rechazo, retirada, devolución, suspensión, plazos, apelación si el evento la admite y registro completo de cada transición. No todo trabajo requiere peer review; aceptación científica no implica permiso automático de publicación.</w:t>
      </w:r>
    </w:p>
    <w:bookmarkEnd w:id="49"/>
    <w:bookmarkStart w:id="50" w:name="evaluación"/>
    <w:p>
      <w:pPr>
        <w:pStyle w:val="Heading2"/>
      </w:pPr>
      <w:r>
        <w:t xml:space="preserve">4.3. Evaluación</w:t>
      </w:r>
    </w:p>
    <w:p>
      <w:pPr>
        <w:pStyle w:val="FirstParagraph"/>
      </w:pPr>
      <w:r>
        <w:t xml:space="preserve">Soportar evaluación abierta, simple ciego y doble ciego; criterios y ponderaciones; revisores internos/externos; carga máxima; asignación manual o sugerida; declaración de conflicto de intereses; comentarios privados al comité y para autores; discusión entre revisores; metarrevisión; segunda ronda; decisiones con motivo; recordatorios y sustituciones. La anonimización se aplica también a metadatos, documentos, descargas y comunicaciones, y requiere revisión editorial humana.</w:t>
      </w:r>
    </w:p>
    <w:bookmarkEnd w:id="50"/>
    <w:bookmarkStart w:id="51" w:name="ética-científica-y-uso-de-ia"/>
    <w:p>
      <w:pPr>
        <w:pStyle w:val="Heading2"/>
      </w:pPr>
      <w:r>
        <w:t xml:space="preserve">4.4. Ética científica y uso de IA</w:t>
      </w:r>
    </w:p>
    <w:p>
      <w:pPr>
        <w:pStyle w:val="FirstParagraph"/>
      </w:pPr>
      <w:r>
        <w:t xml:space="preserve">Declaraciones de originalidad, conflictos, consentimiento de coautores, derechos de terceros, licencias, uso de IA y detección asistida de duplicidad. La IA podrá apoyar, pero no sustituir la decisión científica ni procesar trabajos inéditos externamente sin base jurídica, protección contractual y autorización. Registrar qué modelos/proveedores se utilizan y las intervenciones humanas.</w:t>
      </w:r>
    </w:p>
    <w:bookmarkEnd w:id="51"/>
    <w:bookmarkEnd w:id="52"/>
    <w:bookmarkStart w:id="53" w:name="galería-de-pósteres-digitales"/>
    <w:p>
      <w:pPr>
        <w:pStyle w:val="Heading1"/>
      </w:pPr>
      <w:r>
        <w:t xml:space="preserve">5. Galería de pósteres digitales</w:t>
      </w:r>
    </w:p>
    <w:p>
      <w:pPr>
        <w:pStyle w:val="FirstParagraph"/>
      </w:pPr>
      <w:r>
        <w:t xml:space="preserve">Implementar</w:t>
      </w:r>
      <w:r>
        <w:t xml:space="preserve"> </w:t>
      </w:r>
      <w:r>
        <w:rPr>
          <w:b/>
          <w:bCs/>
        </w:rPr>
        <w:t xml:space="preserve">módulo científico propio</w:t>
      </w:r>
      <w:r>
        <w:t xml:space="preserve">, no un repositorio de carpetas. Póster con PDF/imagen, vista previa, resolución adecuada, zoom y multipágina, título, resumen, autores, ORCID, afiliaciones, área, idioma, número, sesión, licencia, enlace persistente, descarga según permiso y auditoría editorial. Galería por evento y colecciones históricas entre ediciones; búsqueda y filtros por temática, institución, país, autor, año y taller.</w:t>
      </w:r>
    </w:p>
    <w:p>
      <w:pPr>
        <w:pStyle w:val="BodyText"/>
      </w:pPr>
      <w:r>
        <w:t xml:space="preserve">En P1/P2: video de presentación, audio, comentarios moderados, preguntas al autor, visitas, evaluación de jurado, votación cuando autorizada, premios y sesiones virtuales. Procesar imágenes y PDF en colas con límites de tamaño, análisis antivirus y protección contra contenido activo; cumplir accesibilidad y permitir metadatos alternativos.</w:t>
      </w:r>
    </w:p>
    <w:bookmarkEnd w:id="53"/>
    <w:bookmarkStart w:id="57" w:name="Xd5b5375e1f0aff16af7b15c7048bf6019525c7a"/>
    <w:p>
      <w:pPr>
        <w:pStyle w:val="Heading1"/>
      </w:pPr>
      <w:r>
        <w:t xml:space="preserve">6. Memorias científicas, publicaciones y preservación</w:t>
      </w:r>
    </w:p>
    <w:bookmarkStart w:id="54" w:name="flujo-editorial"/>
    <w:p>
      <w:pPr>
        <w:pStyle w:val="Heading2"/>
      </w:pPr>
      <w:r>
        <w:t xml:space="preserve">6.1. Flujo editorial</w:t>
      </w:r>
    </w:p>
    <w:p>
      <w:pPr>
        <w:pStyle w:val="FirstParagraph"/>
      </w:pPr>
      <w:r>
        <w:t xml:space="preserve">Selección autorizada → confirmación de autorías y derechos → recepción final → control editorial → edición y estilo → índice y paginación → prueba editorial → aprobación → publicación → identificadores persistentes → preservación/exportación. El editor puede excluir contribuciones aceptadas no autorizadas para memorias.</w:t>
      </w:r>
    </w:p>
    <w:bookmarkEnd w:id="54"/>
    <w:bookmarkStart w:id="55" w:name="productos"/>
    <w:p>
      <w:pPr>
        <w:pStyle w:val="Heading2"/>
      </w:pPr>
      <w:r>
        <w:t xml:space="preserve">6.2. Productos</w:t>
      </w:r>
    </w:p>
    <w:p>
      <w:pPr>
        <w:pStyle w:val="FirstParagraph"/>
      </w:pPr>
      <w:r>
        <w:t xml:space="preserve">Libro de resúmenes PDF/web, memorias consolidadas PDF/HTML, artículos individuales, pósteres, programa, índice de autores, índice temático, portal de archivos por edición y datos bibliográficos exportables (JSON/XML/OAI-PMH si corresponde). Plantillas editoriales para cubierta, créditos, comités, prólogo, metadatos, índices y numeración, con versiones y huellas de integridad.</w:t>
      </w:r>
    </w:p>
    <w:bookmarkEnd w:id="55"/>
    <w:bookmarkStart w:id="56" w:name="metadatos-e-identificadores"/>
    <w:p>
      <w:pPr>
        <w:pStyle w:val="Heading2"/>
      </w:pPr>
      <w:r>
        <w:t xml:space="preserve">6.3. Metadatos e identificadores</w:t>
      </w:r>
    </w:p>
    <w:p>
      <w:pPr>
        <w:pStyle w:val="FirstParagraph"/>
      </w:pPr>
      <w:r>
        <w:t xml:space="preserve">Integración eventual con ORCID, Crossref y DataCite; perfiles compatibles con Dublin Core, Schema.org y estándares pertinentes; DOI de memorias o contribuciones por intermediación de entidad registradora habilitada, nunca generación arbitraria de DOI. Separar el identificador local de la URL canónica, el DOI y las versiones. DataCite Metadata Schema 4.7 incorpora recursos Poster y Presentation. Prever licencias Creative Commons cuando el comité/editorial lo apruebe.</w:t>
      </w:r>
    </w:p>
    <w:bookmarkEnd w:id="56"/>
    <w:bookmarkEnd w:id="57"/>
    <w:bookmarkStart w:id="58" w:name="participantes-inscripciones-y-programa"/>
    <w:p>
      <w:pPr>
        <w:pStyle w:val="Heading1"/>
      </w:pPr>
      <w:r>
        <w:t xml:space="preserve">7. Participantes, inscripciones y programa</w:t>
      </w:r>
    </w:p>
    <w:p>
      <w:pPr>
        <w:pStyle w:val="FirstParagraph"/>
      </w:pPr>
      <w:r>
        <w:t xml:space="preserve">Inscripciones por categorías, modalidades y cupos; datos de contacto y afiliación, consentimiento, confirmación, listado, estados, inscripción grupal y responsabilidades por evento. Separar registro, pedido, pago y derecho de acceso. En P1: tarifas por ventana, moneda, descuentos, comprobantes, pasarelas enchufables, conciliación, reembolsos, facturación e informes. No acoplar reglas científicas a pago confirmado salvo decisión explícita.</w:t>
      </w:r>
    </w:p>
    <w:p>
      <w:pPr>
        <w:pStyle w:val="BodyText"/>
      </w:pPr>
      <w:r>
        <w:t xml:space="preserve">Programa por fecha, sala, sesión, ponencia, coordinador y modalidad; conflictos de ponentes, salas y recursos; edición con borrador/publicado, versión de agenda, búsqueda, calendario personal, exportación PDF/iCal y enlaces híbridos. Un taller puede exigir inscripción y aforo independientes. Controlar husos horarios y cambios comunicados.</w:t>
      </w:r>
    </w:p>
    <w:bookmarkEnd w:id="58"/>
    <w:bookmarkStart w:id="59" w:name="credenciales-acreditación-y-asistencia"/>
    <w:p>
      <w:pPr>
        <w:pStyle w:val="Heading1"/>
      </w:pPr>
      <w:r>
        <w:t xml:space="preserve">8. Credenciales, acreditación y asistencia</w:t>
      </w:r>
    </w:p>
    <w:p>
      <w:pPr>
        <w:pStyle w:val="FirstParagraph"/>
      </w:pPr>
      <w:r>
        <w:t xml:space="preserve">Plantillas visuales para delegado, ponente, conferencista, comité, revisor, prensa, patrocinador, expositor, invitado y personal. Emisión individual/lotes, PDF o impresión, QR, revocación, sustitución, cambio de categoría, verificabilidad y auditoría. Registro de acceso por evento/sesión/sede, entradas/salidas, perfiles de operador y panel de asistencia.</w:t>
      </w:r>
    </w:p>
    <w:p>
      <w:pPr>
        <w:pStyle w:val="BodyText"/>
      </w:pPr>
      <w:r>
        <w:rPr>
          <w:b/>
          <w:bCs/>
        </w:rPr>
        <w:t xml:space="preserve">Conectividad limitada:</w:t>
      </w:r>
      <w:r>
        <w:t xml:space="preserve"> </w:t>
      </w:r>
      <w:r>
        <w:t xml:space="preserve">PWA de check-in con caché local autorizada, datos mínimos, cifrado, QR con identificador opaco o firma, lista de revocaciones descargada, cola local, reconciliación, idempotencia y reglas ante accesos duplicados. La firma de QR permite probar autenticidad offline, pero no detectar uso simultáneo en dispositivos sin sincronización.</w:t>
      </w:r>
    </w:p>
    <w:bookmarkEnd w:id="59"/>
    <w:bookmarkStart w:id="60" w:name="certificados-y-constancias"/>
    <w:p>
      <w:pPr>
        <w:pStyle w:val="Heading1"/>
      </w:pPr>
      <w:r>
        <w:t xml:space="preserve">9. Certificados y constancias</w:t>
      </w:r>
    </w:p>
    <w:p>
      <w:pPr>
        <w:pStyle w:val="FirstParagraph"/>
      </w:pPr>
      <w:r>
        <w:t xml:space="preserve">Tipos: participación, asistencia, ponencia, autoría, revisión, comité científico, organización, talleres/cursos, premios. Reglas configurables por evento: registro confirmado, umbral de asistencia, presentación comprobada, trabajo aceptado, evaluaciones completadas, horas reconocidas y actas autorizadas. Plantillas en español/inglés, firmas, numeración, QR a verificación, emisión masiva, rectificación, revocación, reemisión y trazabilidad. QR no equivale por sí solo a firma digital jurídica. Restringir exposición pública de datos personales.</w:t>
      </w:r>
    </w:p>
    <w:bookmarkEnd w:id="60"/>
    <w:bookmarkStart w:id="67" w:name="Xec0adeb401fe91ca8b1eb1c45b2bb00787958c1"/>
    <w:p>
      <w:pPr>
        <w:pStyle w:val="Heading1"/>
      </w:pPr>
      <w:r>
        <w:t xml:space="preserve">10. Comunicación, streaming, patrocinio y logística</w:t>
      </w:r>
    </w:p>
    <w:bookmarkStart w:id="61" w:name="comunicaciones"/>
    <w:p>
      <w:pPr>
        <w:pStyle w:val="Heading2"/>
      </w:pPr>
      <w:r>
        <w:t xml:space="preserve">10.1. Comunicaciones</w:t>
      </w:r>
    </w:p>
    <w:p>
      <w:pPr>
        <w:pStyle w:val="FirstParagraph"/>
      </w:pPr>
      <w:r>
        <w:t xml:space="preserve">Correos transaccionales y campañas segmentadas, plantillas traducidas, notificaciones de plazos, dictámenes, pagos, programa y certificados; estados de envío, supresión, bajas y auditoría. Adaptadores SMTP propios y colas con reintentos.</w:t>
      </w:r>
    </w:p>
    <w:bookmarkEnd w:id="61"/>
    <w:bookmarkStart w:id="62" w:name="eventos-híbridos"/>
    <w:p>
      <w:pPr>
        <w:pStyle w:val="Heading2"/>
      </w:pPr>
      <w:r>
        <w:t xml:space="preserve">10.2. Eventos híbridos</w:t>
      </w:r>
    </w:p>
    <w:p>
      <w:pPr>
        <w:pStyle w:val="FirstParagraph"/>
      </w:pPr>
      <w:r>
        <w:t xml:space="preserve">Sesiones con enlaces autenticados o públicos según política, streaming, grabaciones, materiales bajo permiso, preguntas, encuestas y control de asistencia remota con reglas verificables. La herramienta de videoconferencia será sustituible.</w:t>
      </w:r>
    </w:p>
    <w:bookmarkEnd w:id="62"/>
    <w:bookmarkStart w:id="63" w:name="patrocinadores-y-exhibiciones"/>
    <w:p>
      <w:pPr>
        <w:pStyle w:val="Heading2"/>
      </w:pPr>
      <w:r>
        <w:t xml:space="preserve">10.3. Patrocinadores y exhibiciones</w:t>
      </w:r>
    </w:p>
    <w:p>
      <w:pPr>
        <w:pStyle w:val="FirstParagraph"/>
      </w:pPr>
      <w:r>
        <w:t xml:space="preserve">Patrocinios por categoría, contratos/beneficios, logos, perfiles de expositores, stands virtuales/presenciales, publicidad autorizada, leads solo con consentimiento y métricas.</w:t>
      </w:r>
    </w:p>
    <w:bookmarkEnd w:id="63"/>
    <w:bookmarkStart w:id="64" w:name="hospedaje"/>
    <w:p>
      <w:pPr>
        <w:pStyle w:val="Heading2"/>
      </w:pPr>
      <w:r>
        <w:t xml:space="preserve">10.4. Hospedaje</w:t>
      </w:r>
    </w:p>
    <w:p>
      <w:pPr>
        <w:pStyle w:val="FirstParagraph"/>
      </w:pPr>
      <w:r>
        <w:t xml:space="preserve">Hoteles, inventario y cupos, tipos de habitación, tarifas, períodos, peticiones y asignación, confirmaciones, exportación operativa, reglas de cancelación y acceso limitado para operadores hoteleros.</w:t>
      </w:r>
    </w:p>
    <w:bookmarkEnd w:id="64"/>
    <w:bookmarkStart w:id="65" w:name="transportación"/>
    <w:p>
      <w:pPr>
        <w:pStyle w:val="Heading2"/>
      </w:pPr>
      <w:r>
        <w:t xml:space="preserve">10.5. Transportación</w:t>
      </w:r>
    </w:p>
    <w:p>
      <w:pPr>
        <w:pStyle w:val="FirstParagraph"/>
      </w:pPr>
      <w:r>
        <w:t xml:space="preserve">Arribos/salidas, aeropuerto, itinerarios, rutas, vehículos, conductores, capacidad, pasajeros, traslados hotel-sede, incidentes y reportes de servicio. Transportación no consulta directamente tablas de evaluación científica.</w:t>
      </w:r>
    </w:p>
    <w:bookmarkEnd w:id="65"/>
    <w:bookmarkStart w:id="66" w:name="extensiones-futuras"/>
    <w:p>
      <w:pPr>
        <w:pStyle w:val="Heading2"/>
      </w:pPr>
      <w:r>
        <w:t xml:space="preserve">10.6. Extensiones futuras</w:t>
      </w:r>
    </w:p>
    <w:p>
      <w:pPr>
        <w:pStyle w:val="FirstParagraph"/>
      </w:pPr>
      <w:r>
        <w:t xml:space="preserve">Acompañantes, turismo, gastronomía, traducción simultánea, protocolo, atención VIP, voluntarios, reuniones 1:1, directorios autorizados, mesa de ayuda e incidencias. Cada módulo declara contratos, permisos, eventos y migraciones.</w:t>
      </w:r>
    </w:p>
    <w:bookmarkEnd w:id="66"/>
    <w:bookmarkEnd w:id="67"/>
    <w:bookmarkStart w:id="68" w:name="analítica-y-cuadro-de-mando"/>
    <w:p>
      <w:pPr>
        <w:pStyle w:val="Heading1"/>
      </w:pPr>
      <w:r>
        <w:t xml:space="preserve">11. Analítica y cuadro de mando</w:t>
      </w:r>
    </w:p>
    <w:p>
      <w:pPr>
        <w:pStyle w:val="FirstParagraph"/>
      </w:pPr>
      <w:r>
        <w:t xml:space="preserve">Indicadores: contribuciones por congreso/simposio/taller; por estado; tiempos medios de revisión; carga por revisor; aceptación/rechazo; autores, países, afiliaciones; registros por modalidad/categoría; pagos cuando apliquen; asistencias; posters más consultados; certificados emitidos; memorias publicadas, visitas y descargas. Vistas operativas por evento y consolidadas por organización, permisos estrictos, filtros, CSV/XLSX y API. Los datos de ilustración del análisis original (1.240 trabajos, 1.086 evaluaciones, 2.850 inscritos, 36 países)</w:t>
      </w:r>
      <w:r>
        <w:t xml:space="preserve"> </w:t>
      </w:r>
      <w:r>
        <w:rPr>
          <w:b/>
          <w:bCs/>
        </w:rPr>
        <w:t xml:space="preserve">son ficticios</w:t>
      </w:r>
      <w:r>
        <w:t xml:space="preserve"> </w:t>
      </w:r>
      <w:r>
        <w:t xml:space="preserve">y no se consideran datos reales del proyecto.</w:t>
      </w:r>
    </w:p>
    <w:bookmarkEnd w:id="68"/>
    <w:bookmarkStart w:id="73" w:name="arquitectura-tecnológica"/>
    <w:p>
      <w:pPr>
        <w:pStyle w:val="Heading1"/>
      </w:pPr>
      <w:r>
        <w:t xml:space="preserve">12. Arquitectura tecnológica</w:t>
      </w:r>
    </w:p>
    <w:bookmarkStart w:id="69" w:name="estilo"/>
    <w:p>
      <w:pPr>
        <w:pStyle w:val="Heading2"/>
      </w:pPr>
      <w:r>
        <w:t xml:space="preserve">12.1. Estilo</w:t>
      </w:r>
    </w:p>
    <w:p>
      <w:pPr>
        <w:pStyle w:val="FirstParagraph"/>
      </w:pPr>
      <w:r>
        <w:rPr>
          <w:b/>
          <w:bCs/>
        </w:rPr>
        <w:t xml:space="preserve">Monolito modular, API-first y orientado a eventos</w:t>
      </w:r>
      <w:r>
        <w:t xml:space="preserve">, con delimitación clara de bounded contexts y capacidad de extraer servicios cuando haya requisitos reales. No comenzar con microservicios distribuidos por moda. Separar frontend público, portal administrativo y app/PWA de acreditación. Usar API documentada y SDK generado o tipado.</w:t>
      </w:r>
    </w:p>
    <w:p>
      <w:pPr>
        <w:pStyle w:val="SourceCode"/>
      </w:pPr>
      <w:r>
        <w:rPr>
          <w:rStyle w:val="VerbatimChar"/>
        </w:rPr>
        <w:t xml:space="preserve">Cliente web público ──────┐</w:t>
      </w:r>
      <w:r>
        <w:br/>
      </w:r>
      <w:r>
        <w:rPr>
          <w:rStyle w:val="VerbatimChar"/>
        </w:rPr>
        <w:t xml:space="preserve">Panel administrativo ─────┼── HTTPS / balanceador / protección ── API REST v1</w:t>
      </w:r>
      <w:r>
        <w:br/>
      </w:r>
      <w:r>
        <w:rPr>
          <w:rStyle w:val="VerbatimChar"/>
        </w:rPr>
        <w:t xml:space="preserve">PWA de acreditación ──────┤                                  │</w:t>
      </w:r>
      <w:r>
        <w:br/>
      </w:r>
      <w:r>
        <w:rPr>
          <w:rStyle w:val="VerbatimChar"/>
        </w:rPr>
        <w:t xml:space="preserve">Futura APK Android/iOS ───┘                            Backend modular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PostgreSQL                              Redis/colas          Objetos S3</w:t>
      </w:r>
      <w:r>
        <w:br/>
      </w:r>
      <w:r>
        <w:rPr>
          <w:rStyle w:val="VerbatimChar"/>
        </w:rPr>
        <w:t xml:space="preserve">                 │                                         │                     │</w:t>
      </w:r>
      <w:r>
        <w:br/>
      </w:r>
      <w:r>
        <w:rPr>
          <w:rStyle w:val="VerbatimChar"/>
        </w:rPr>
        <w:t xml:space="preserve">             auditoría/outbox                        trabajadores          PDFs/pósteres</w:t>
      </w:r>
      <w:r>
        <w:br/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SMTP · OIDC · DOI · ORCID · pagos</w:t>
      </w:r>
    </w:p>
    <w:bookmarkEnd w:id="69"/>
    <w:bookmarkStart w:id="70" w:name="stack-de-referencia"/>
    <w:p>
      <w:pPr>
        <w:pStyle w:val="Heading2"/>
      </w:pPr>
      <w:r>
        <w:t xml:space="preserve">12.2. Stack de referencia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Preferencia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+ 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SSR, SEO, accesibilidad e i18n.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Módulos, OpenAPI, validación, 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Integridad, transacciones, índices y RLS donde proceda.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 Drizzle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Decidir mediante prueba de concepto; no ambas indiscriminadamente.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o proveedor OIDC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SSO, MFA, federación, flujos de cuenta.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Cache/colas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+ BullMQ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asíncronos e idempotencia.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S3-compatible, p. ej. 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Versionado, prefijos por tenant, URLs firmadas.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HAProxy y/o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múltiples dominios, limitación.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Plantillas HTML/CSS →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de edición/generación; pruebas tipográficas.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Prometheus/Grafana/Loki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Métricas, logs y alertas.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y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Unitarias, integración, E2E y seguridad multitenant.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24.04, VM y 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dependencia inicial de Docker/Kubernetes.</w:t>
            </w:r>
          </w:p>
        </w:tc>
      </w:tr>
    </w:tbl>
    <w:bookmarkEnd w:id="70"/>
    <w:bookmarkStart w:id="71" w:name="estructura-del-monorepo"/>
    <w:p>
      <w:pPr>
        <w:pStyle w:val="Heading2"/>
      </w:pPr>
      <w:r>
        <w:t xml:space="preserve">12.3. Estructura del monorepo</w:t>
      </w:r>
    </w:p>
    <w:p>
      <w:pPr>
        <w:pStyle w:val="SourceCode"/>
      </w:pPr>
      <w:r>
        <w:rPr>
          <w:rStyle w:val="VerbatimChar"/>
        </w:rPr>
        <w:t xml:space="preserve">scientific-events-platform/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public-web/</w:t>
      </w:r>
      <w:r>
        <w:br/>
      </w:r>
      <w:r>
        <w:rPr>
          <w:rStyle w:val="VerbatimChar"/>
        </w:rPr>
        <w:t xml:space="preserve">    admin-web/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checkin-pwa/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contracts/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i18n/</w:t>
      </w:r>
      <w:r>
        <w:br/>
      </w:r>
      <w:r>
        <w:rPr>
          <w:rStyle w:val="VerbatimChar"/>
        </w:rPr>
        <w:t xml:space="preserve">    configuration/</w:t>
      </w:r>
      <w:r>
        <w:br/>
      </w:r>
      <w:r>
        <w:rPr>
          <w:rStyle w:val="VerbatimChar"/>
        </w:rPr>
        <w:t xml:space="preserve">    sdk-typescript/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document-worker/</w:t>
      </w:r>
      <w:r>
        <w:br/>
      </w:r>
      <w:r>
        <w:rPr>
          <w:rStyle w:val="VerbatimChar"/>
        </w:rPr>
        <w:t xml:space="preserve">    media-worker/</w:t>
      </w:r>
      <w:r>
        <w:br/>
      </w:r>
      <w:r>
        <w:rPr>
          <w:rStyle w:val="VerbatimChar"/>
        </w:rPr>
        <w:t xml:space="preserve">  infrastructure/</w:t>
      </w:r>
      <w:r>
        <w:br/>
      </w:r>
      <w:r>
        <w:rPr>
          <w:rStyle w:val="VerbatimChar"/>
        </w:rPr>
        <w:t xml:space="preserve">    nginx/</w:t>
      </w:r>
      <w:r>
        <w:br/>
      </w:r>
      <w:r>
        <w:rPr>
          <w:rStyle w:val="VerbatimChar"/>
        </w:rPr>
        <w:t xml:space="preserve">    haproxy/</w:t>
      </w:r>
      <w:r>
        <w:br/>
      </w:r>
      <w:r>
        <w:rPr>
          <w:rStyle w:val="VerbatimChar"/>
        </w:rPr>
        <w:t xml:space="preserve">    systemd/</w:t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monitoring/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architecture/</w:t>
      </w:r>
      <w:r>
        <w:br/>
      </w:r>
      <w:r>
        <w:rPr>
          <w:rStyle w:val="VerbatimChar"/>
        </w:rPr>
        <w:t xml:space="preserve">    adr/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functional/</w:t>
      </w:r>
      <w:r>
        <w:br/>
      </w:r>
      <w:r>
        <w:rPr>
          <w:rStyle w:val="VerbatimChar"/>
        </w:rPr>
        <w:t xml:space="preserve">  tests/</w:t>
      </w:r>
    </w:p>
    <w:bookmarkEnd w:id="71"/>
    <w:bookmarkStart w:id="72" w:name="modelo-de-entidades-primera-iteración"/>
    <w:p>
      <w:pPr>
        <w:pStyle w:val="Heading2"/>
      </w:pPr>
      <w:r>
        <w:t xml:space="preserve">12.4. Modelo de entidades (primera iteración)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Organization, EventSeries, EventEdition, Event, Domain, Theme, ModuleConfiguration.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Person, Identity, Affiliation, Membership, RoleAssignment,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ScientificTrack, Topic, Committee, CommitteeMember, Submission, SubmissionVersion, Authorship.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ReviewAssignment, Review, Criterion, Decision, ConflictOfInterest.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Presentation, Venue, Room, ScheduleSlot, Resource.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Inscripciones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RegistrationType, Entitlement, Attendance.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Order, Invoice, Payment, Refund, Discount.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Acreditación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BadgeTemplate, Credential, CheckIn.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CertificateTemplate, Certificate, Issuance, Revocation.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Proceedings, Publication, PublicationVersion, PersistentIdentifier.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Poster, PosterAsset, PosterSession, PosterInteraction.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Notification, Template, Campaign,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Hotel, RoomInventory, Booking, Transfer, Vehicle, ServiceOrder.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AuditEntry, OutboxEvent, Integration, WebhookDelivery.</w:t>
            </w:r>
          </w:p>
        </w:tc>
      </w:tr>
    </w:tbl>
    <w:p>
      <w:pPr>
        <w:pStyle w:val="BodyText"/>
      </w:pPr>
      <w:r>
        <w:t xml:space="preserve">Las relaciones deben distinguir explícitamente persona, coautoría, inscripción y derecho de acceso. Las decisiones editoriales tienen historial y no pueden reescribirse silenciosamente.</w:t>
      </w:r>
    </w:p>
    <w:bookmarkEnd w:id="72"/>
    <w:bookmarkEnd w:id="73"/>
    <w:bookmarkStart w:id="74" w:name="X77e783af1645aa5f850e4803bfd27075e829e7a"/>
    <w:p>
      <w:pPr>
        <w:pStyle w:val="Heading1"/>
      </w:pPr>
      <w:r>
        <w:t xml:space="preserve">13. Multi-tenancy, IAM, autorización y seguridad</w:t>
      </w:r>
    </w:p>
    <w:p>
      <w:pPr>
        <w:pStyle w:val="FirstParagraph"/>
      </w:pPr>
      <w:r>
        <w:t xml:space="preserve">Una BD PostgreSQL compartida con separación lógica estricta por organización/evento es viable inicialmente; preparar migración de tenants especiales a infraestructura separada. Resolver tenant desde dominio validado y principal autenticado, nunca confiar en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del cliente. Roles RBAC contextuales combinados con políticas ABAC para decisiones sensibles. SQL con filtros tenant obligatorios, restricciones compuestas para evitar cruces, Row-Level Security donde corresponda y pruebas negativas explícitas. Aislamiento de documentos en almacenamiento de objetos, URLs temporales, cifrado en tránsito, controles de subida y auditoría.</w:t>
      </w:r>
    </w:p>
    <w:p>
      <w:pPr>
        <w:pStyle w:val="BodyText"/>
      </w:pPr>
      <w:r>
        <w:t xml:space="preserve">MFA administrativo, políticas de sesión y contraseñas si existen cuentas locales, OIDC, rate-limits, antivirus en archivos, protección CSRF/XSS/SSRF, backups probados, rotación de secretos, mínimos privilegios, retención, consentimiento, derecho de exportación y cumplimiento normativo. Proteger doble ciego en API, UI, exportaciones, notificaciones, metadatos PDF y registros.</w:t>
      </w:r>
    </w:p>
    <w:bookmarkEnd w:id="74"/>
    <w:bookmarkStart w:id="75" w:name="contratos-api-y-eventos-de-negocio"/>
    <w:p>
      <w:pPr>
        <w:pStyle w:val="Heading1"/>
      </w:pPr>
      <w:r>
        <w:t xml:space="preserve">14. Contratos API y eventos de negocio</w:t>
      </w:r>
    </w:p>
    <w:p>
      <w:pPr>
        <w:pStyle w:val="FirstParagraph"/>
      </w:pPr>
      <w:r>
        <w:t xml:space="preserve">Diferenciar API pública de lectura, API autenticada del participante, API administrativa y API para integraciones; documentación OpenAPI 3.x, versionado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pagination, filtros, orden, errores normalizados, scopes y límites. No exponer datos privados en endpoints públicos.</w:t>
      </w:r>
    </w:p>
    <w:p>
      <w:pPr>
        <w:pStyle w:val="SourceCode"/>
      </w:pPr>
      <w:r>
        <w:rPr>
          <w:rStyle w:val="VerbatimChar"/>
        </w:rPr>
        <w:t xml:space="preserve">GET    /api/v1/events</w:t>
      </w:r>
      <w:r>
        <w:br/>
      </w:r>
      <w:r>
        <w:rPr>
          <w:rStyle w:val="VerbatimChar"/>
        </w:rPr>
        <w:t xml:space="preserve">POST   /api/v1/events</w:t>
      </w:r>
      <w:r>
        <w:br/>
      </w:r>
      <w:r>
        <w:rPr>
          <w:rStyle w:val="VerbatimChar"/>
        </w:rPr>
        <w:t xml:space="preserve">GET    /api/v1/events/{eventId}</w:t>
      </w:r>
      <w:r>
        <w:br/>
      </w:r>
      <w:r>
        <w:rPr>
          <w:rStyle w:val="VerbatimChar"/>
        </w:rPr>
        <w:t xml:space="preserve">GET    /api/v1/events/{eventId}/program</w:t>
      </w:r>
      <w:r>
        <w:br/>
      </w:r>
      <w:r>
        <w:rPr>
          <w:rStyle w:val="VerbatimChar"/>
        </w:rPr>
        <w:t xml:space="preserve">GET    /api/v1/events/{eventId}/submissions</w:t>
      </w:r>
      <w:r>
        <w:br/>
      </w:r>
      <w:r>
        <w:rPr>
          <w:rStyle w:val="VerbatimChar"/>
        </w:rPr>
        <w:t xml:space="preserve">POST   /api/v1/events/{eventId}/submissions</w:t>
      </w:r>
      <w:r>
        <w:br/>
      </w:r>
      <w:r>
        <w:rPr>
          <w:rStyle w:val="VerbatimChar"/>
        </w:rPr>
        <w:t xml:space="preserve">POST   /api/v1/submissions/{id}/submit</w:t>
      </w:r>
      <w:r>
        <w:br/>
      </w:r>
      <w:r>
        <w:rPr>
          <w:rStyle w:val="VerbatimChar"/>
        </w:rPr>
        <w:t xml:space="preserve">POST   /api/v1/reviews/{id}/complete</w:t>
      </w:r>
      <w:r>
        <w:br/>
      </w:r>
      <w:r>
        <w:rPr>
          <w:rStyle w:val="VerbatimChar"/>
        </w:rPr>
        <w:t xml:space="preserve">GET    /api/v1/events/{eventId}/posters</w:t>
      </w:r>
      <w:r>
        <w:br/>
      </w:r>
      <w:r>
        <w:rPr>
          <w:rStyle w:val="VerbatimChar"/>
        </w:rPr>
        <w:t xml:space="preserve">GET    /api/v1/events/{eventId}/proceedings</w:t>
      </w:r>
      <w:r>
        <w:br/>
      </w:r>
      <w:r>
        <w:rPr>
          <w:rStyle w:val="VerbatimChar"/>
        </w:rPr>
        <w:t xml:space="preserve">POST   /api/v1/events/{eventId}/registrations</w:t>
      </w:r>
      <w:r>
        <w:br/>
      </w:r>
      <w:r>
        <w:rPr>
          <w:rStyle w:val="VerbatimChar"/>
        </w:rPr>
        <w:t xml:space="preserve">POST   /api/v1/credentials/verify</w:t>
      </w:r>
      <w:r>
        <w:br/>
      </w:r>
      <w:r>
        <w:rPr>
          <w:rStyle w:val="VerbatimChar"/>
        </w:rPr>
        <w:t xml:space="preserve">POST   /api/v1/checkins</w:t>
      </w:r>
      <w:r>
        <w:br/>
      </w:r>
      <w:r>
        <w:rPr>
          <w:rStyle w:val="VerbatimChar"/>
        </w:rPr>
        <w:t xml:space="preserve">GET    /api/v1/certificates/{id}/verify</w:t>
      </w:r>
    </w:p>
    <w:p>
      <w:pPr>
        <w:pStyle w:val="FirstParagraph"/>
      </w:pPr>
      <w:r>
        <w:t xml:space="preserve">Los endpoints son ilustrativos. Eventos de negocio:</w:t>
      </w:r>
      <w:r>
        <w:t xml:space="preserve"> </w:t>
      </w:r>
      <w:r>
        <w:rPr>
          <w:rStyle w:val="VerbatimChar"/>
        </w:rPr>
        <w:t xml:space="preserve">event.created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submission.review_assigned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submission.accepted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registration.confirmed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presentation.scheduled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participant.checked_in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certificate.issued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proceedings.published</w:t>
      </w:r>
      <w:r>
        <w:t xml:space="preserve">. Usar Transactional Outbox, consumidores idempotentes, retries y DLQ cuando aplique. Webhooks externos con firma, secuencia, reintentos y bitácora de entrega.</w:t>
      </w:r>
    </w:p>
    <w:p>
      <w:pPr>
        <w:pStyle w:val="BodyText"/>
      </w:pPr>
      <w:r>
        <w:t xml:space="preserve">Una APK futura consumirá los mismos contratos, con identificadores estables, cursores de sincronización y operaciones offline explícitamente definidas. PWA es la primera estrategia móvil; cliente nativo posterior si existe justificación.</w:t>
      </w:r>
    </w:p>
    <w:bookmarkEnd w:id="75"/>
    <w:bookmarkStart w:id="76" w:name="requisitos-no-funcionales"/>
    <w:p>
      <w:pPr>
        <w:pStyle w:val="Heading1"/>
      </w:pPr>
      <w:r>
        <w:t xml:space="preserve">15. Requisitos no funcionales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diseño a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 inicial, según acuerdo de servicio.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Lecturas ligeras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p95 &lt; 500 ms bajo escenario de carga acordado.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2.2 AA como objetivo.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Español/inglés desde primer lanzamiento.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Rendimiento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para móvil y conexiones lentas.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Aislamiento verificable entre eventos; mínimo privilegio y auditoría.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Procesos pesados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Asíncronos, reanudables, observables.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RPO y RTO por criticidad y probar restauraciones.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Instancias de API replicables y workers separados.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OpenAPI, webhooks firmados, exportaciones abiertas.</w:t>
            </w:r>
          </w:p>
        </w:tc>
      </w:tr>
    </w:tbl>
    <w:p>
      <w:pPr>
        <w:pStyle w:val="BodyText"/>
      </w:pPr>
      <w:r>
        <w:t xml:space="preserve">Las metas son objetivos propuestos, no garantías medidas. Pruebas de carga especialmente en cierre de convocatoria, publicación de dictámenes, inicio de inscripciones y check-in masivo.</w:t>
      </w:r>
    </w:p>
    <w:bookmarkEnd w:id="76"/>
    <w:bookmarkStart w:id="77" w:name="estrategia-de-despliegue-y-crecimiento"/>
    <w:p>
      <w:pPr>
        <w:pStyle w:val="Heading1"/>
      </w:pPr>
      <w:r>
        <w:t xml:space="preserve">16. Estrategia de despliegue y crecimiento</w:t>
      </w:r>
    </w:p>
    <w:p>
      <w:pPr>
        <w:pStyle w:val="FirstParagraph"/>
      </w:pPr>
      <w:r>
        <w:rPr>
          <w:b/>
          <w:bCs/>
        </w:rPr>
        <w:t xml:space="preserve">Inicio:</w:t>
      </w:r>
      <w:r>
        <w:t xml:space="preserve"> </w:t>
      </w:r>
      <w:r>
        <w:t xml:space="preserve">VMs Ubuntu, Nginx/HAProxy, instancias Node.js bajo systemd, PostgreSQL, Redis, almacenamiento S3-compatible, trabajadores asíncronos. Automatización con Ansible, CI, backups, TLS, secretos fuera de código, logs centralizados y monitoreo. Sin requisito inicial de Docker/Kubernetes.</w:t>
      </w:r>
    </w:p>
    <w:p>
      <w:pPr>
        <w:pStyle w:val="BodyText"/>
      </w:pPr>
      <w:r>
        <w:rPr>
          <w:b/>
          <w:bCs/>
        </w:rPr>
        <w:t xml:space="preserve">Crecimiento:</w:t>
      </w:r>
      <w:r>
        <w:t xml:space="preserve"> </w:t>
      </w:r>
      <w:r>
        <w:t xml:space="preserve">escalado horizontal de API sin estado, trabajadores separados, réplicas de lectura PostgreSQL cuando estén justificadas, cachés por tenant, partición de datos y almacenamiento de objetos adecuado, CDN opcional.</w:t>
      </w:r>
      <w:r>
        <w:t xml:space="preserve"> </w:t>
      </w:r>
      <w:r>
        <w:rPr>
          <w:b/>
          <w:bCs/>
        </w:rPr>
        <w:t xml:space="preserve">Avanzado:</w:t>
      </w:r>
      <w:r>
        <w:t xml:space="preserve"> </w:t>
      </w:r>
      <w:r>
        <w:t xml:space="preserve">extracción de módulos que requieran independencia de despliegue, tecnología o capacidad; no extraer sin métricas.</w:t>
      </w:r>
    </w:p>
    <w:bookmarkEnd w:id="77"/>
    <w:bookmarkStart w:id="78" w:name="gobierno-y-reglas-operativas"/>
    <w:p>
      <w:pPr>
        <w:pStyle w:val="Heading1"/>
      </w:pPr>
      <w:r>
        <w:t xml:space="preserve">17. Gobierno y reglas operativas</w:t>
      </w:r>
    </w:p>
    <w:p>
      <w:pPr>
        <w:pStyle w:val="FirstParagraph"/>
      </w:pPr>
      <w:r>
        <w:t xml:space="preserve">Definir responsabilidad por datos, administrador central vs. organizador, comité científico, secretaría, autor, revisor, editor, encargado de credenciales, responsable de pagos, acreditador y público. Registrar toda acción de aprobación y publicación. Definir cómo se exporta un evento completo (datos + archivos + metadatos + auditoría exportable bajo permisos) y su retención luego de finalizar.</w:t>
      </w:r>
    </w:p>
    <w:p>
      <w:pPr>
        <w:pStyle w:val="BodyText"/>
      </w:pPr>
      <w:r>
        <w:rPr>
          <w:b/>
          <w:bCs/>
        </w:rPr>
        <w:t xml:space="preserve">Principios de consistencia:</w:t>
      </w:r>
      <w:r>
        <w:t xml:space="preserve"> </w:t>
      </w:r>
      <w:r>
        <w:t xml:space="preserve">identidad global compartida sin privilegios globales; estado científico distinto del editorial; inscripción distinta del pago; presentación distinta de publicación; certificado distinto de credencial; DOI distinto de ID local; evento distinto de edición; archivo privado distinto de obra publicada.</w:t>
      </w:r>
    </w:p>
    <w:bookmarkEnd w:id="78"/>
    <w:bookmarkStart w:id="79" w:name="Xac634e50e28a4c6b1737ae6b4db5055e6564590"/>
    <w:p>
      <w:pPr>
        <w:pStyle w:val="Heading1"/>
      </w:pPr>
      <w:r>
        <w:t xml:space="preserve">18. Fases de construcción y criterios de salida</w:t>
      </w:r>
    </w:p>
    <w:p>
      <w:pPr>
        <w:pStyle w:val="FirstParagraph"/>
      </w:pPr>
      <w:r>
        <w:rPr>
          <w:b/>
          <w:bCs/>
        </w:rPr>
        <w:t xml:space="preserve">Fase 0 — Fundaciones:</w:t>
      </w:r>
      <w:r>
        <w:t xml:space="preserve"> </w:t>
      </w:r>
      <w:r>
        <w:t xml:space="preserve">arquitectura, ADR, modelo de datos, API, threat model, UX inicial, CI y prueba multitenant.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dos tenants aislados y diseño aprobado.</w:t>
      </w:r>
    </w:p>
    <w:p>
      <w:pPr>
        <w:pStyle w:val="BodyText"/>
      </w:pPr>
      <w:r>
        <w:rPr>
          <w:b/>
          <w:bCs/>
        </w:rPr>
        <w:t xml:space="preserve">Fase 1 — Plataforma y presencia digital:</w:t>
      </w:r>
      <w:r>
        <w:t xml:space="preserve"> </w:t>
      </w:r>
      <w:r>
        <w:t xml:space="preserve">organizaciones, dominios, identidades, roles, idiomas, temas y CMS.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dos eventos con dominios e imagen propios coexistiendo.</w:t>
      </w:r>
    </w:p>
    <w:p>
      <w:pPr>
        <w:pStyle w:val="BodyText"/>
      </w:pPr>
      <w:r>
        <w:rPr>
          <w:b/>
          <w:bCs/>
        </w:rPr>
        <w:t xml:space="preserve">Fase 2 — Ciclo científico:</w:t>
      </w:r>
      <w:r>
        <w:t xml:space="preserve"> </w:t>
      </w:r>
      <w:r>
        <w:t xml:space="preserve">convocatorias, envíos, autores, revisión, dictámenes, versiones y agenda.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un flujo real desde envío hasta publicación de programa.</w:t>
      </w:r>
    </w:p>
    <w:p>
      <w:pPr>
        <w:pStyle w:val="BodyText"/>
      </w:pPr>
      <w:r>
        <w:rPr>
          <w:b/>
          <w:bCs/>
        </w:rPr>
        <w:t xml:space="preserve">Fase 3 — Operación y patrimonio:</w:t>
      </w:r>
      <w:r>
        <w:t xml:space="preserve"> </w:t>
      </w:r>
      <w:r>
        <w:t xml:space="preserve">registro, credenciales, asistencia, certificados, e-pósteres, memorias, avisos e indicadores.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piloto completo de evento científico real.</w:t>
      </w:r>
    </w:p>
    <w:p>
      <w:pPr>
        <w:pStyle w:val="BodyText"/>
      </w:pPr>
      <w:r>
        <w:rPr>
          <w:b/>
          <w:bCs/>
        </w:rPr>
        <w:t xml:space="preserve">Fase 4 — Extensiones prioritarias:</w:t>
      </w:r>
      <w:r>
        <w:t xml:space="preserve"> </w:t>
      </w:r>
      <w:r>
        <w:t xml:space="preserve">pagos, PWA offline robusta, híbridos, patrocinadores, hospedaje y transporte.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módulos activables sin modificar el núcleo.</w:t>
      </w:r>
    </w:p>
    <w:p>
      <w:pPr>
        <w:pStyle w:val="BodyText"/>
      </w:pPr>
      <w:r>
        <w:rPr>
          <w:b/>
          <w:bCs/>
        </w:rPr>
        <w:t xml:space="preserve">Fase 5 — Ecosistema:</w:t>
      </w:r>
      <w:r>
        <w:t xml:space="preserve"> </w:t>
      </w:r>
      <w:r>
        <w:t xml:space="preserve">SDK, aplicaciones móviles, analítica avanzada, automatización/IA, integraciones.</w:t>
      </w:r>
      <w:r>
        <w:t xml:space="preserve"> </w:t>
      </w:r>
      <w:r>
        <w:rPr>
          <w:i/>
          <w:iCs/>
        </w:rPr>
        <w:t xml:space="preserve">Salida:</w:t>
      </w:r>
      <w:r>
        <w:t xml:space="preserve"> </w:t>
      </w:r>
      <w:r>
        <w:t xml:space="preserve">integración externa documentada y compatibilidad sostenida.</w:t>
      </w:r>
    </w:p>
    <w:p>
      <w:pPr>
        <w:pStyle w:val="BodyText"/>
      </w:pPr>
      <w:r>
        <w:t xml:space="preserve">No comprometer plazos hasta dimensionar equipo y pilotos. Equipo mínimo por capacidades: product owner con experiencia científica, arquitectura, frontend, backend, UX, QA, DevOps/seguridad, representación editorial y usuarios piloto.</w:t>
      </w:r>
    </w:p>
    <w:bookmarkEnd w:id="79"/>
    <w:bookmarkStart w:id="80" w:name="riesgos-y-mitigaciones"/>
    <w:p>
      <w:pPr>
        <w:pStyle w:val="Heading1"/>
      </w:pPr>
      <w:r>
        <w:t xml:space="preserve">19. Riesgos y mitigaciones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Crecimiento descontrolado del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requisitos priorizados y entregas verticales.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Cruces de datos entre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filtros/contexto seguro, claves compuestas y pruebas automatizadas.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Congestión en fechas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Carga, colas, idempotencia y escalado.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tardía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Alertas, sustitución de revisores y tablero.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Identidades/autores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maestro, conciliación y autorías independientes.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Filtración de identidad en doble ciego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 de metadatos y pruebas de permisos.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Publicaciones incorrectas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editorial, versionado y 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fraudulentos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Identificador, verificación, revocación y auditoría.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Conectividad deficiente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liviana, PWA offline, reconciliación.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Adaptadores, contratos y exportación abierta.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Pérdida del patrimonio científico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verificados, preservación y metadatos.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 de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 contractuales y migraciones controladas.</w:t>
            </w:r>
          </w:p>
        </w:tc>
      </w:tr>
    </w:tbl>
    <w:bookmarkEnd w:id="80"/>
    <w:bookmarkStart w:id="81" w:name="Xf58855b8ad401f6f284eb374547cb9546747ffb"/>
    <w:p>
      <w:pPr>
        <w:pStyle w:val="Heading1"/>
      </w:pPr>
      <w:r>
        <w:t xml:space="preserve">20. Criterio de producto y primeras decisiones</w:t>
      </w:r>
    </w:p>
    <w:p>
      <w:pPr>
        <w:pStyle w:val="FirstParagraph"/>
      </w:pPr>
      <w:r>
        <w:t xml:space="preserve">Nombre provisional:</w:t>
      </w:r>
      <w:r>
        <w:t xml:space="preserve"> </w:t>
      </w:r>
      <w:r>
        <w:rPr>
          <w:b/>
          <w:bCs/>
        </w:rPr>
        <w:t xml:space="preserve">Scientific Events Platform (SEP)</w:t>
      </w:r>
      <w:r>
        <w:t xml:space="preserve">; no fijar marca comercial. Definición:</w:t>
      </w:r>
      <w:r>
        <w:t xml:space="preserve"> </w:t>
      </w:r>
      <w:r>
        <w:rPr>
          <w:i/>
          <w:iCs/>
        </w:rPr>
        <w:t xml:space="preserve">Plataforma para gestionar integralmente el ciclo de vida de eventos científicos, académicos y profesionales, multitenant, con identidad digital, procesos editoriales, publicación de resultados, extensiones logísticas y APIs interoperables.</w:t>
      </w:r>
    </w:p>
    <w:p>
      <w:pPr>
        <w:pStyle w:val="BodyText"/>
      </w:pPr>
      <w:r>
        <w:t xml:space="preserve">Referentes a imitar por función:</w:t>
      </w:r>
      <w:r>
        <w:t xml:space="preserve"> </w:t>
      </w:r>
      <w:r>
        <w:rPr>
          <w:b/>
          <w:bCs/>
        </w:rPr>
        <w:t xml:space="preserve">Indico</w:t>
      </w:r>
      <w:r>
        <w:t xml:space="preserve"> </w:t>
      </w:r>
      <w:r>
        <w:t xml:space="preserve">(integral/extensible);</w:t>
      </w:r>
      <w:r>
        <w:t xml:space="preserve"> </w:t>
      </w:r>
      <w:r>
        <w:rPr>
          <w:b/>
          <w:bCs/>
        </w:rPr>
        <w:t xml:space="preserve">EasyChair/CMT</w:t>
      </w:r>
      <w:r>
        <w:t xml:space="preserve"> </w:t>
      </w:r>
      <w:r>
        <w:t xml:space="preserve">(rigurosidad científica);</w:t>
      </w:r>
      <w:r>
        <w:t xml:space="preserve"> </w:t>
      </w:r>
      <w:r>
        <w:rPr>
          <w:b/>
          <w:bCs/>
        </w:rPr>
        <w:t xml:space="preserve">pretalx</w:t>
      </w:r>
      <w:r>
        <w:t xml:space="preserve"> </w:t>
      </w:r>
      <w:r>
        <w:t xml:space="preserve">(convocatoria y programa);</w:t>
      </w:r>
      <w:r>
        <w:t xml:space="preserve"> </w:t>
      </w:r>
      <w:r>
        <w:rPr>
          <w:b/>
          <w:bCs/>
        </w:rPr>
        <w:t xml:space="preserve">Fourwaves/Oxford Abstracts</w:t>
      </w:r>
      <w:r>
        <w:t xml:space="preserve"> </w:t>
      </w:r>
      <w:r>
        <w:t xml:space="preserve">(pósteres y experiencia digital);</w:t>
      </w:r>
      <w:r>
        <w:t xml:space="preserve"> </w:t>
      </w:r>
      <w:r>
        <w:rPr>
          <w:b/>
          <w:bCs/>
        </w:rPr>
        <w:t xml:space="preserve">Ex Ordo</w:t>
      </w:r>
      <w:r>
        <w:t xml:space="preserve"> </w:t>
      </w:r>
      <w:r>
        <w:t xml:space="preserve">(continuidad científica-operativa);</w:t>
      </w:r>
      <w:r>
        <w:t xml:space="preserve"> </w:t>
      </w:r>
      <w:r>
        <w:rPr>
          <w:b/>
          <w:bCs/>
        </w:rPr>
        <w:t xml:space="preserve">Cvent</w:t>
      </w:r>
      <w:r>
        <w:t xml:space="preserve"> </w:t>
      </w:r>
      <w:r>
        <w:t xml:space="preserve">(logística y acreditación);</w:t>
      </w:r>
      <w:r>
        <w:t xml:space="preserve"> </w:t>
      </w:r>
      <w:r>
        <w:rPr>
          <w:b/>
          <w:bCs/>
        </w:rPr>
        <w:t xml:space="preserve">pretix/Open Event</w:t>
      </w:r>
      <w:r>
        <w:t xml:space="preserve"> </w:t>
      </w:r>
      <w:r>
        <w:t xml:space="preserve">(operación/API).</w:t>
      </w:r>
    </w:p>
    <w:p>
      <w:pPr>
        <w:pStyle w:val="BodyText"/>
      </w:pPr>
      <w:r>
        <w:rPr>
          <w:b/>
          <w:bCs/>
        </w:rPr>
        <w:t xml:space="preserve">Primera demostración obligatoria:</w:t>
      </w:r>
      <w:r>
        <w:t xml:space="preserve"> </w:t>
      </w:r>
      <w:r>
        <w:t xml:space="preserve">dos eventos con dominios y diseños distintos, una persona con roles independientes y pruebas que demuestren que ningún usuario puede ver datos privados ajenos. No iniciar por componentes visuales desconectados del modelo de negocio.</w:t>
      </w:r>
    </w:p>
    <w:bookmarkEnd w:id="81"/>
    <w:bookmarkStart w:id="82" w:name="X3f8e3ccdd2ee046731d7e1269f233d06dc23385"/>
    <w:p>
      <w:pPr>
        <w:pStyle w:val="Heading1"/>
      </w:pPr>
      <w:r>
        <w:t xml:space="preserve">21. Cuestiones abiertas para refinamiento formal</w:t>
      </w:r>
    </w:p>
    <w:p>
      <w:pPr>
        <w:pStyle w:val="Compact"/>
        <w:numPr>
          <w:ilvl w:val="0"/>
          <w:numId w:val="1001"/>
        </w:numPr>
      </w:pPr>
      <w:r>
        <w:t xml:space="preserve">Evento piloto, número aproximado de trabajos, participantes, revisores y simultaneidad.</w:t>
      </w:r>
    </w:p>
    <w:p>
      <w:pPr>
        <w:pStyle w:val="Compact"/>
        <w:numPr>
          <w:ilvl w:val="0"/>
          <w:numId w:val="1001"/>
        </w:numPr>
      </w:pPr>
      <w:r>
        <w:t xml:space="preserve">Tipos de revisión, método de decisión y facultades del comité por modalidad.</w:t>
      </w:r>
    </w:p>
    <w:p>
      <w:pPr>
        <w:pStyle w:val="Compact"/>
        <w:numPr>
          <w:ilvl w:val="0"/>
          <w:numId w:val="1001"/>
        </w:numPr>
      </w:pPr>
      <w:r>
        <w:t xml:space="preserve">Política de autoría, anonimización y retiro de trabajos.</w:t>
      </w:r>
    </w:p>
    <w:p>
      <w:pPr>
        <w:pStyle w:val="Compact"/>
        <w:numPr>
          <w:ilvl w:val="0"/>
          <w:numId w:val="1001"/>
        </w:numPr>
      </w:pPr>
      <w:r>
        <w:t xml:space="preserve">Quién edita memorias, firma certificados y registra DOI.</w:t>
      </w:r>
    </w:p>
    <w:p>
      <w:pPr>
        <w:pStyle w:val="Compact"/>
        <w:numPr>
          <w:ilvl w:val="0"/>
          <w:numId w:val="1001"/>
        </w:numPr>
      </w:pPr>
      <w:r>
        <w:t xml:space="preserve">Tarifas, monedas, métodos de pago y cumplimiento local de cada sede.</w:t>
      </w:r>
    </w:p>
    <w:p>
      <w:pPr>
        <w:pStyle w:val="Compact"/>
        <w:numPr>
          <w:ilvl w:val="0"/>
          <w:numId w:val="1001"/>
        </w:numPr>
      </w:pPr>
      <w:r>
        <w:t xml:space="preserve">Identidad federada requerida e integración con directorios existentes.</w:t>
      </w:r>
    </w:p>
    <w:p>
      <w:pPr>
        <w:pStyle w:val="Compact"/>
        <w:numPr>
          <w:ilvl w:val="0"/>
          <w:numId w:val="1001"/>
        </w:numPr>
      </w:pPr>
      <w:r>
        <w:t xml:space="preserve">Reglas de hospedaje/traslado y proveedores autorizados.</w:t>
      </w:r>
    </w:p>
    <w:p>
      <w:pPr>
        <w:pStyle w:val="Compact"/>
        <w:numPr>
          <w:ilvl w:val="0"/>
          <w:numId w:val="1001"/>
        </w:numPr>
      </w:pPr>
      <w:r>
        <w:t xml:space="preserve">Requisitos de retención, publicación histórica, eliminación y exportación.</w:t>
      </w:r>
    </w:p>
    <w:p>
      <w:pPr>
        <w:pStyle w:val="Compact"/>
        <w:numPr>
          <w:ilvl w:val="0"/>
          <w:numId w:val="1001"/>
        </w:numPr>
      </w:pPr>
      <w:r>
        <w:t xml:space="preserve">Volumen de dominios, infraestructura existente y política de TLS/DNS.</w:t>
      </w:r>
    </w:p>
    <w:p>
      <w:pPr>
        <w:pStyle w:val="Compact"/>
        <w:numPr>
          <w:ilvl w:val="0"/>
          <w:numId w:val="1001"/>
        </w:numPr>
      </w:pPr>
      <w:r>
        <w:t xml:space="preserve">Políticas de firma electrónica y verificación pública de certificados.</w:t>
      </w:r>
    </w:p>
    <w:bookmarkEnd w:id="82"/>
    <w:bookmarkStart w:id="83" w:name="fuentes-y-referencias-de-continuación"/>
    <w:p>
      <w:pPr>
        <w:pStyle w:val="Heading1"/>
      </w:pPr>
      <w:r>
        <w:t xml:space="preserve">22. Fuentes y referencias de continuación</w:t>
      </w:r>
    </w:p>
    <w:p>
      <w:pPr>
        <w:pStyle w:val="Compact"/>
        <w:numPr>
          <w:ilvl w:val="0"/>
          <w:numId w:val="1002"/>
        </w:numPr>
      </w:pPr>
      <w:r>
        <w:t xml:space="preserve">Indico: https://getindico.io/ ; https://github.com/indico/indico</w:t>
      </w:r>
    </w:p>
    <w:p>
      <w:pPr>
        <w:pStyle w:val="Compact"/>
        <w:numPr>
          <w:ilvl w:val="0"/>
          <w:numId w:val="1002"/>
        </w:numPr>
      </w:pPr>
      <w:r>
        <w:t xml:space="preserve">pretalx: https://pretalx.com/ ; https://docs.pretalx.org/</w:t>
      </w:r>
    </w:p>
    <w:p>
      <w:pPr>
        <w:pStyle w:val="Compact"/>
        <w:numPr>
          <w:ilvl w:val="0"/>
          <w:numId w:val="1002"/>
        </w:numPr>
      </w:pPr>
      <w:r>
        <w:t xml:space="preserve">Open Event: https://github.com/fossasia/open-event-server</w:t>
      </w:r>
    </w:p>
    <w:p>
      <w:pPr>
        <w:pStyle w:val="Compact"/>
        <w:numPr>
          <w:ilvl w:val="0"/>
          <w:numId w:val="1002"/>
        </w:numPr>
      </w:pPr>
      <w:r>
        <w:t xml:space="preserve">pretix: https://pretix.eu/ ; https://docs.pretix.eu/</w:t>
      </w:r>
    </w:p>
    <w:p>
      <w:pPr>
        <w:pStyle w:val="Compact"/>
        <w:numPr>
          <w:ilvl w:val="0"/>
          <w:numId w:val="1002"/>
        </w:numPr>
      </w:pPr>
      <w:r>
        <w:t xml:space="preserve">OpenReview: https://openreview.net/</w:t>
      </w:r>
    </w:p>
    <w:p>
      <w:pPr>
        <w:pStyle w:val="Compact"/>
        <w:numPr>
          <w:ilvl w:val="0"/>
          <w:numId w:val="1002"/>
        </w:numPr>
      </w:pPr>
      <w:r>
        <w:t xml:space="preserve">EasyChair: https://easychair.org/conference_management</w:t>
      </w:r>
    </w:p>
    <w:p>
      <w:pPr>
        <w:pStyle w:val="Compact"/>
        <w:numPr>
          <w:ilvl w:val="0"/>
          <w:numId w:val="1002"/>
        </w:numPr>
      </w:pPr>
      <w:r>
        <w:t xml:space="preserve">Microsoft CMT: https://cmtint.research.microsoft.com/About</w:t>
      </w:r>
    </w:p>
    <w:p>
      <w:pPr>
        <w:pStyle w:val="Compact"/>
        <w:numPr>
          <w:ilvl w:val="0"/>
          <w:numId w:val="1002"/>
        </w:numPr>
      </w:pPr>
      <w:r>
        <w:t xml:space="preserve">ConfTool: https://www.conftool.net/en/features.html</w:t>
      </w:r>
    </w:p>
    <w:p>
      <w:pPr>
        <w:pStyle w:val="Compact"/>
        <w:numPr>
          <w:ilvl w:val="0"/>
          <w:numId w:val="1002"/>
        </w:numPr>
      </w:pPr>
      <w:r>
        <w:t xml:space="preserve">Ex Ordo: https://www.exordo.com/conference-management-software</w:t>
      </w:r>
    </w:p>
    <w:p>
      <w:pPr>
        <w:pStyle w:val="Compact"/>
        <w:numPr>
          <w:ilvl w:val="0"/>
          <w:numId w:val="1002"/>
        </w:numPr>
      </w:pPr>
      <w:r>
        <w:t xml:space="preserve">Oxford Abstracts: https://help.oxfordabstracts.com/knowledge/the-conference-platform</w:t>
      </w:r>
    </w:p>
    <w:p>
      <w:pPr>
        <w:pStyle w:val="Compact"/>
        <w:numPr>
          <w:ilvl w:val="0"/>
          <w:numId w:val="1002"/>
        </w:numPr>
      </w:pPr>
      <w:r>
        <w:t xml:space="preserve">Fourwaves: https://fourwaves.com/</w:t>
      </w:r>
    </w:p>
    <w:p>
      <w:pPr>
        <w:pStyle w:val="Compact"/>
        <w:numPr>
          <w:ilvl w:val="0"/>
          <w:numId w:val="1002"/>
        </w:numPr>
      </w:pPr>
      <w:r>
        <w:t xml:space="preserve">OpenConf: https://www.openconf.com/editions/</w:t>
      </w:r>
    </w:p>
    <w:p>
      <w:pPr>
        <w:pStyle w:val="Compact"/>
        <w:numPr>
          <w:ilvl w:val="0"/>
          <w:numId w:val="1002"/>
        </w:numPr>
      </w:pPr>
      <w:r>
        <w:t xml:space="preserve">Dryfta: https://dryfta.com/event-management-software/event-management-software-for-conference-events/</w:t>
      </w:r>
    </w:p>
    <w:p>
      <w:pPr>
        <w:pStyle w:val="Compact"/>
        <w:numPr>
          <w:ilvl w:val="0"/>
          <w:numId w:val="1002"/>
        </w:numPr>
      </w:pPr>
      <w:r>
        <w:t xml:space="preserve">Cvent: https://www.cvent.com/en/event-management-software/features</w:t>
      </w:r>
    </w:p>
    <w:p>
      <w:pPr>
        <w:pStyle w:val="Compact"/>
        <w:numPr>
          <w:ilvl w:val="0"/>
          <w:numId w:val="1002"/>
        </w:numPr>
      </w:pPr>
      <w:r>
        <w:t xml:space="preserve">Crossref (conferencias): https://www.crossref.org/documentation/principles-practices/conference-proceedings/</w:t>
      </w:r>
    </w:p>
    <w:p>
      <w:pPr>
        <w:pStyle w:val="Compact"/>
        <w:numPr>
          <w:ilvl w:val="0"/>
          <w:numId w:val="1002"/>
        </w:numPr>
      </w:pPr>
      <w:r>
        <w:t xml:space="preserve">DataCite Metadata Schema: https://schema.datacite.org/</w:t>
      </w:r>
    </w:p>
    <w:p>
      <w:pPr>
        <w:pStyle w:val="Compact"/>
        <w:numPr>
          <w:ilvl w:val="0"/>
          <w:numId w:val="1002"/>
        </w:numPr>
      </w:pPr>
      <w:r>
        <w:t xml:space="preserve">ORCID API: https://info.orcid.org/what-is-orcid/services/public-api/</w:t>
      </w:r>
    </w:p>
    <w:p>
      <w:pPr>
        <w:pStyle w:val="FirstParagraph"/>
      </w:pPr>
      <w:r>
        <w:rPr>
          <w:b/>
          <w:bCs/>
        </w:rPr>
        <w:t xml:space="preserve">Nota de alcance documental:</w:t>
      </w:r>
      <w:r>
        <w:t xml:space="preserve"> </w:t>
      </w:r>
      <w:r>
        <w:t xml:space="preserve">las capacidades comerciales deben contrastarse con la versión vigente y sus licencias antes de formular una tabla contractual definitiva. Este documento conserva el análisis y las recomendaciones del estudio preliminar y añade criterios implementables iniciales.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Integral de Gestión de Eventos Científicos</dc:title>
  <dc:creator/>
  <dc:language>es-ES</dc:language>
  <cp:keywords/>
  <dcterms:created xsi:type="dcterms:W3CDTF">2026-10-14T13:08:48Z</dcterms:created>
  <dcterms:modified xsi:type="dcterms:W3CDTF">2026-10-14T13:08:48Z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octubre de 2026</vt:lpwstr>
  </property>
  <property fmtid="{D5CDD505-2E9C-101B-9397-08002B2CF9AE}" pid="3" name="subtitle">
    <vt:lpwstr>Informe comparativo, catálogo funcional y propuesta de arquitectura — versión inicial 1.0</vt:lpwstr>
  </property>
</Properties>
</file>