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55016" w14:textId="77777777" w:rsidR="006C2B1E" w:rsidRDefault="00000000">
      <w:pPr>
        <w:spacing w:after="40"/>
      </w:pPr>
      <w:r>
        <w:rPr>
          <w:b/>
          <w:bCs/>
          <w:color w:val="595959"/>
          <w:sz w:val="24"/>
          <w:szCs w:val="24"/>
        </w:rPr>
        <w:t>Product Requirements Document</w:t>
      </w:r>
    </w:p>
    <w:p w14:paraId="167A670A" w14:textId="76760E46" w:rsidR="006C2B1E" w:rsidRPr="00F12372" w:rsidRDefault="00000000" w:rsidP="007D5050">
      <w:pPr>
        <w:spacing w:after="40"/>
        <w:rPr>
          <w:color w:val="262626" w:themeColor="text1" w:themeTint="D9"/>
          <w:sz w:val="96"/>
          <w:szCs w:val="96"/>
        </w:rPr>
      </w:pPr>
      <w:proofErr w:type="spellStart"/>
      <w:r w:rsidRPr="00F12372">
        <w:rPr>
          <w:b/>
          <w:bCs/>
          <w:color w:val="262626" w:themeColor="text1" w:themeTint="D9"/>
          <w:sz w:val="96"/>
          <w:szCs w:val="96"/>
        </w:rPr>
        <w:t>EquiDoc</w:t>
      </w:r>
      <w:proofErr w:type="spellEnd"/>
    </w:p>
    <w:p w14:paraId="3856A6F1" w14:textId="77777777" w:rsidR="006C2B1E" w:rsidRPr="007D5050" w:rsidRDefault="00000000">
      <w:pPr>
        <w:pStyle w:val="Heading1"/>
        <w:rPr>
          <w:rFonts w:ascii="AVENIR BOOK OBLIQUE" w:hAnsi="AVENIR BOOK OBLIQUE"/>
          <w:color w:val="000000" w:themeColor="text1"/>
        </w:rPr>
      </w:pPr>
      <w:r w:rsidRPr="007D5050">
        <w:rPr>
          <w:rFonts w:ascii="AVENIR BOOK OBLIQUE" w:hAnsi="AVENIR BOOK OBLIQUE"/>
          <w:color w:val="000000" w:themeColor="text1"/>
        </w:rPr>
        <w:t>1. Overview</w:t>
      </w:r>
    </w:p>
    <w:p w14:paraId="6F4F435D" w14:textId="77777777" w:rsidR="006C2B1E" w:rsidRDefault="00000000">
      <w:pPr>
        <w:spacing w:after="120" w:line="276" w:lineRule="auto"/>
      </w:pPr>
      <w:r>
        <w:rPr>
          <w:b/>
          <w:bCs/>
        </w:rPr>
        <w:t xml:space="preserve">Product Name:  </w:t>
      </w:r>
      <w:proofErr w:type="spellStart"/>
      <w:r>
        <w:t>EquiDoc</w:t>
      </w:r>
      <w:proofErr w:type="spellEnd"/>
    </w:p>
    <w:p w14:paraId="4ED8427E" w14:textId="77777777" w:rsidR="006C2B1E" w:rsidRDefault="00000000">
      <w:pPr>
        <w:spacing w:after="120" w:line="276" w:lineRule="auto"/>
      </w:pPr>
      <w:r>
        <w:rPr>
          <w:b/>
          <w:bCs/>
        </w:rPr>
        <w:t xml:space="preserve">Product Vision:  </w:t>
      </w:r>
      <w:r>
        <w:t>A web-native accessibility engine designed to democratize document comprehension for users with language barriers or lower textual literacy.</w:t>
      </w:r>
    </w:p>
    <w:p w14:paraId="597BB16A" w14:textId="77777777" w:rsidR="006C2B1E" w:rsidRDefault="00000000">
      <w:pPr>
        <w:spacing w:after="120" w:line="276" w:lineRule="auto"/>
      </w:pPr>
      <w:r>
        <w:rPr>
          <w:b/>
          <w:bCs/>
        </w:rPr>
        <w:t xml:space="preserve">Platform:  </w:t>
      </w:r>
      <w:r>
        <w:t>Mobile-first Progressive Web App (PWA)</w:t>
      </w:r>
    </w:p>
    <w:p w14:paraId="795220F2" w14:textId="77777777" w:rsidR="006C2B1E" w:rsidRPr="007D5050" w:rsidRDefault="00000000">
      <w:pPr>
        <w:pStyle w:val="Heading1"/>
        <w:rPr>
          <w:rFonts w:ascii="AVENIR BOOK OBLIQUE" w:hAnsi="AVENIR BOOK OBLIQUE"/>
          <w:color w:val="000000" w:themeColor="text1"/>
        </w:rPr>
      </w:pPr>
      <w:r w:rsidRPr="007D5050">
        <w:rPr>
          <w:rFonts w:ascii="AVENIR BOOK OBLIQUE" w:hAnsi="AVENIR BOOK OBLIQUE"/>
          <w:color w:val="000000" w:themeColor="text1"/>
        </w:rPr>
        <w:t>2. The Problem</w:t>
      </w:r>
    </w:p>
    <w:p w14:paraId="5EC6E444" w14:textId="77777777" w:rsidR="006C2B1E" w:rsidRDefault="00000000">
      <w:pPr>
        <w:spacing w:after="120" w:line="276" w:lineRule="auto"/>
      </w:pPr>
      <w:r>
        <w:t>Migrant and blue-collar workers frequently encounter high-density, complex paperwork — employment contracts, housing agreements, health guidelines, and immigration documents. Because of language barriers and varying levels of textual literacy, these documents are often signed or discarded without full comprehension. This creates a significant asymmetry in legal and personal rights.</w:t>
      </w:r>
    </w:p>
    <w:p w14:paraId="0F2FE464" w14:textId="77777777" w:rsidR="006C2B1E" w:rsidRPr="007D5050" w:rsidRDefault="00000000">
      <w:pPr>
        <w:pStyle w:val="Heading1"/>
        <w:rPr>
          <w:rFonts w:ascii="AVENIR BOOK OBLIQUE" w:hAnsi="AVENIR BOOK OBLIQUE"/>
          <w:color w:val="000000" w:themeColor="text1"/>
        </w:rPr>
      </w:pPr>
      <w:r w:rsidRPr="007D5050">
        <w:rPr>
          <w:rFonts w:ascii="AVENIR BOOK OBLIQUE" w:hAnsi="AVENIR BOOK OBLIQUE"/>
          <w:color w:val="000000" w:themeColor="text1"/>
        </w:rPr>
        <w:t>3. The Solution</w:t>
      </w:r>
    </w:p>
    <w:p w14:paraId="3B598215" w14:textId="77777777" w:rsidR="006C2B1E" w:rsidRDefault="00000000">
      <w:pPr>
        <w:spacing w:after="120" w:line="276" w:lineRule="auto"/>
      </w:pPr>
      <w:proofErr w:type="spellStart"/>
      <w:r>
        <w:t>EquiDoc</w:t>
      </w:r>
      <w:proofErr w:type="spellEnd"/>
      <w:r>
        <w:t xml:space="preserve"> lets a user photograph any physical document and receive a simplified, translated audio summary in their own language. It avoids the need for high digital literacy or expensive hardware by operating entirely within the mobile browser as a zero-cost PWA.</w:t>
      </w:r>
    </w:p>
    <w:p w14:paraId="73E02A7B" w14:textId="77777777" w:rsidR="006C2B1E" w:rsidRPr="007D5050" w:rsidRDefault="00000000">
      <w:pPr>
        <w:pStyle w:val="Heading1"/>
        <w:rPr>
          <w:rFonts w:ascii="AVENIR BOOK OBLIQUE" w:hAnsi="AVENIR BOOK OBLIQUE"/>
          <w:color w:val="000000" w:themeColor="text1"/>
        </w:rPr>
      </w:pPr>
      <w:r w:rsidRPr="007D5050">
        <w:rPr>
          <w:rFonts w:ascii="AVENIR BOOK OBLIQUE" w:hAnsi="AVENIR BOOK OBLIQUE"/>
          <w:color w:val="000000" w:themeColor="text1"/>
        </w:rPr>
        <w:t>4. Target Audience</w:t>
      </w:r>
    </w:p>
    <w:p w14:paraId="79CA9C21" w14:textId="77777777" w:rsidR="006C2B1E" w:rsidRDefault="00000000">
      <w:pPr>
        <w:pStyle w:val="ListParagraph"/>
        <w:numPr>
          <w:ilvl w:val="0"/>
          <w:numId w:val="2"/>
        </w:numPr>
        <w:spacing w:after="60"/>
      </w:pPr>
      <w:r>
        <w:t>Migrant workers</w:t>
      </w:r>
    </w:p>
    <w:p w14:paraId="6CD489F5" w14:textId="77777777" w:rsidR="006C2B1E" w:rsidRDefault="00000000">
      <w:pPr>
        <w:pStyle w:val="ListParagraph"/>
        <w:numPr>
          <w:ilvl w:val="0"/>
          <w:numId w:val="2"/>
        </w:numPr>
        <w:spacing w:after="60"/>
      </w:pPr>
      <w:r>
        <w:t>Blue-collar workers</w:t>
      </w:r>
    </w:p>
    <w:p w14:paraId="30BD7278" w14:textId="77777777" w:rsidR="006C2B1E" w:rsidRDefault="00000000">
      <w:pPr>
        <w:pStyle w:val="ListParagraph"/>
        <w:numPr>
          <w:ilvl w:val="0"/>
          <w:numId w:val="2"/>
        </w:numPr>
        <w:spacing w:after="60"/>
      </w:pPr>
      <w:r>
        <w:t>Individuals with lower textual literacy or language barriers</w:t>
      </w:r>
    </w:p>
    <w:p w14:paraId="6EDD1FCF" w14:textId="77777777" w:rsidR="006C2B1E" w:rsidRDefault="00000000">
      <w:pPr>
        <w:pStyle w:val="ListParagraph"/>
        <w:numPr>
          <w:ilvl w:val="0"/>
          <w:numId w:val="2"/>
        </w:numPr>
        <w:spacing w:after="60"/>
      </w:pPr>
      <w:r>
        <w:t>NGOs assisting these demographics</w:t>
      </w:r>
    </w:p>
    <w:p w14:paraId="341A4D93" w14:textId="77777777" w:rsidR="006C2B1E" w:rsidRPr="007D5050" w:rsidRDefault="00000000">
      <w:pPr>
        <w:pStyle w:val="Heading1"/>
        <w:rPr>
          <w:rFonts w:ascii="AVENIR BOOK OBLIQUE" w:hAnsi="AVENIR BOOK OBLIQUE"/>
          <w:color w:val="000000" w:themeColor="text1"/>
        </w:rPr>
      </w:pPr>
      <w:r w:rsidRPr="007D5050">
        <w:rPr>
          <w:rFonts w:ascii="AVENIR BOOK OBLIQUE" w:hAnsi="AVENIR BOOK OBLIQUE"/>
          <w:color w:val="000000" w:themeColor="text1"/>
        </w:rPr>
        <w:t>5. Core User Workflow</w:t>
      </w:r>
    </w:p>
    <w:p w14:paraId="701EC02A" w14:textId="77777777" w:rsidR="006C2B1E" w:rsidRDefault="00000000">
      <w:pPr>
        <w:pStyle w:val="ListParagraph"/>
        <w:numPr>
          <w:ilvl w:val="0"/>
          <w:numId w:val="3"/>
        </w:numPr>
        <w:spacing w:after="80"/>
      </w:pPr>
      <w:r>
        <w:rPr>
          <w:b/>
          <w:bCs/>
        </w:rPr>
        <w:t xml:space="preserve">Optical Intake. </w:t>
      </w:r>
      <w:r>
        <w:t>The user opens the web app and uses their device camera to photograph a physical document.</w:t>
      </w:r>
    </w:p>
    <w:p w14:paraId="66BEFB33" w14:textId="77777777" w:rsidR="006C2B1E" w:rsidRDefault="00000000">
      <w:pPr>
        <w:pStyle w:val="ListParagraph"/>
        <w:numPr>
          <w:ilvl w:val="0"/>
          <w:numId w:val="3"/>
        </w:numPr>
        <w:spacing w:after="80"/>
      </w:pPr>
      <w:r>
        <w:rPr>
          <w:b/>
          <w:bCs/>
        </w:rPr>
        <w:t xml:space="preserve">Asynchronous Extraction. </w:t>
      </w:r>
      <w:r>
        <w:t>The image is uploaded to the backend, triggering a background job so processing does not stall the browser.</w:t>
      </w:r>
    </w:p>
    <w:p w14:paraId="47B7BB9A" w14:textId="77777777" w:rsidR="006C2B1E" w:rsidRDefault="00000000">
      <w:pPr>
        <w:pStyle w:val="ListParagraph"/>
        <w:numPr>
          <w:ilvl w:val="0"/>
          <w:numId w:val="3"/>
        </w:numPr>
        <w:spacing w:after="80"/>
      </w:pPr>
      <w:r>
        <w:rPr>
          <w:b/>
          <w:bCs/>
        </w:rPr>
        <w:t xml:space="preserve">Agentic Simplification. </w:t>
      </w:r>
      <w:r>
        <w:t>The AI extracts the text, flags clauses that warrant attention or critical instructions, and rewrites the core meaning in simple, conversational language in the user's target language.</w:t>
      </w:r>
    </w:p>
    <w:p w14:paraId="6EA4E83F" w14:textId="77777777" w:rsidR="006C2B1E" w:rsidRDefault="00000000">
      <w:pPr>
        <w:pStyle w:val="ListParagraph"/>
        <w:numPr>
          <w:ilvl w:val="0"/>
          <w:numId w:val="3"/>
        </w:numPr>
        <w:spacing w:after="80"/>
      </w:pPr>
      <w:r>
        <w:rPr>
          <w:b/>
          <w:bCs/>
        </w:rPr>
        <w:lastRenderedPageBreak/>
        <w:t xml:space="preserve">Auditory Playback. </w:t>
      </w:r>
      <w:r>
        <w:t>The simplified summary is returned to the device and read aloud in the user's localized language.</w:t>
      </w:r>
    </w:p>
    <w:p w14:paraId="03C88F25" w14:textId="77777777" w:rsidR="006C2B1E" w:rsidRPr="007D5050" w:rsidRDefault="00000000">
      <w:pPr>
        <w:pStyle w:val="Heading1"/>
        <w:rPr>
          <w:rFonts w:ascii="AVENIR BOOK OBLIQUE" w:hAnsi="AVENIR BOOK OBLIQUE"/>
          <w:color w:val="000000" w:themeColor="text1"/>
        </w:rPr>
      </w:pPr>
      <w:r w:rsidRPr="007D5050">
        <w:rPr>
          <w:rFonts w:ascii="AVENIR BOOK OBLIQUE" w:hAnsi="AVENIR BOOK OBLIQUE"/>
          <w:color w:val="000000" w:themeColor="text1"/>
        </w:rPr>
        <w:t>6. Technical Architecture</w:t>
      </w:r>
    </w:p>
    <w:p w14:paraId="402843FA" w14:textId="77777777" w:rsidR="006C2B1E" w:rsidRDefault="00000000">
      <w:pPr>
        <w:spacing w:after="120" w:line="276" w:lineRule="auto"/>
      </w:pPr>
      <w:r>
        <w:t>To keep local compute off lower-end devices, the application relies on scalable cloud infrastructure:</w:t>
      </w:r>
    </w:p>
    <w:p w14:paraId="63C496E0" w14:textId="77777777" w:rsidR="006C2B1E" w:rsidRDefault="00000000">
      <w:pPr>
        <w:pStyle w:val="ListParagraph"/>
        <w:numPr>
          <w:ilvl w:val="0"/>
          <w:numId w:val="2"/>
        </w:numPr>
        <w:spacing w:after="60"/>
      </w:pPr>
      <w:r>
        <w:rPr>
          <w:b/>
          <w:bCs/>
        </w:rPr>
        <w:t xml:space="preserve">Frontend: </w:t>
      </w:r>
      <w:r>
        <w:t>Next.js (mobile-first, PWA-ready for standard smartphone browsers). Target the current major version — Next.js 16, stable since Oct 2025 — rather than 15, which is now a previous release.</w:t>
      </w:r>
    </w:p>
    <w:p w14:paraId="07DCED0A" w14:textId="77777777" w:rsidR="006C2B1E" w:rsidRDefault="00000000">
      <w:pPr>
        <w:pStyle w:val="ListParagraph"/>
        <w:numPr>
          <w:ilvl w:val="0"/>
          <w:numId w:val="2"/>
        </w:numPr>
        <w:spacing w:after="60"/>
      </w:pPr>
      <w:r>
        <w:rPr>
          <w:b/>
          <w:bCs/>
        </w:rPr>
        <w:t xml:space="preserve">Database &amp; Storage: </w:t>
      </w:r>
      <w:proofErr w:type="spellStart"/>
      <w:r>
        <w:t>Supabase</w:t>
      </w:r>
      <w:proofErr w:type="spellEnd"/>
      <w:r>
        <w:t xml:space="preserve"> — PostgreSQL for user sessions and </w:t>
      </w:r>
      <w:proofErr w:type="spellStart"/>
      <w:r>
        <w:t>Supabase</w:t>
      </w:r>
      <w:proofErr w:type="spellEnd"/>
      <w:r>
        <w:t xml:space="preserve"> Storage for temporary image hosting.</w:t>
      </w:r>
    </w:p>
    <w:p w14:paraId="417E4E0F" w14:textId="77777777" w:rsidR="006C2B1E" w:rsidRDefault="00000000">
      <w:pPr>
        <w:pStyle w:val="ListParagraph"/>
        <w:numPr>
          <w:ilvl w:val="0"/>
          <w:numId w:val="2"/>
        </w:numPr>
        <w:spacing w:after="60"/>
      </w:pPr>
      <w:r>
        <w:rPr>
          <w:b/>
          <w:bCs/>
        </w:rPr>
        <w:t xml:space="preserve">Background Orchestration: </w:t>
      </w:r>
      <w:proofErr w:type="spellStart"/>
      <w:r>
        <w:t>Trigger.dev</w:t>
      </w:r>
      <w:proofErr w:type="spellEnd"/>
      <w:r>
        <w:t xml:space="preserve"> — manages asynchronous processing queues to prevent browser timeouts during heavy OCR tasks.</w:t>
      </w:r>
    </w:p>
    <w:p w14:paraId="25855C7C" w14:textId="77777777" w:rsidR="006C2B1E" w:rsidRDefault="00000000">
      <w:pPr>
        <w:pStyle w:val="ListParagraph"/>
        <w:numPr>
          <w:ilvl w:val="0"/>
          <w:numId w:val="2"/>
        </w:numPr>
        <w:spacing w:after="60"/>
      </w:pPr>
      <w:r>
        <w:rPr>
          <w:b/>
          <w:bCs/>
        </w:rPr>
        <w:t xml:space="preserve">Vision &amp; Translation AI: </w:t>
      </w:r>
      <w:r>
        <w:t>Gemini 2.5 Flash (or 2.5 Flash-Lite for cost). Chosen for its large (1M-token) context window and fast multimodal OCR to extract, clean, translate, and simplify complex jargon.</w:t>
      </w:r>
    </w:p>
    <w:p w14:paraId="7097C67E" w14:textId="77777777" w:rsidR="006C2B1E" w:rsidRDefault="00000000">
      <w:pPr>
        <w:pStyle w:val="Heading2"/>
      </w:pPr>
      <w:r>
        <w:t>Audio Delivery (TTS) — Trade-offs</w:t>
      </w:r>
    </w:p>
    <w:p w14:paraId="09A6BB00" w14:textId="77777777" w:rsidR="006C2B1E" w:rsidRDefault="00000000">
      <w:pPr>
        <w:pStyle w:val="ListParagraph"/>
        <w:numPr>
          <w:ilvl w:val="0"/>
          <w:numId w:val="2"/>
        </w:numPr>
        <w:spacing w:after="60"/>
      </w:pPr>
      <w:r>
        <w:rPr>
          <w:b/>
          <w:bCs/>
        </w:rPr>
        <w:t xml:space="preserve">Web Speech API: </w:t>
      </w:r>
      <w:r>
        <w:t>Free; uses whatever voices are installed on the device. Quality is inconsistent on cheap phones, voices vary by OS, single utterances can be cut off around 200–250 characters, and playback may throttle when the tab loses focus. On some platforms it routes text to cloud voices, so for sensitive documents you must filter for on-device (</w:t>
      </w:r>
      <w:proofErr w:type="spellStart"/>
      <w:r>
        <w:t>localService</w:t>
      </w:r>
      <w:proofErr w:type="spellEnd"/>
      <w:r>
        <w:t>) voices.</w:t>
      </w:r>
    </w:p>
    <w:p w14:paraId="5C609FC7" w14:textId="77777777" w:rsidR="006C2B1E" w:rsidRDefault="00000000">
      <w:pPr>
        <w:pStyle w:val="ListParagraph"/>
        <w:numPr>
          <w:ilvl w:val="0"/>
          <w:numId w:val="2"/>
        </w:numPr>
        <w:spacing w:after="60"/>
      </w:pPr>
      <w:r>
        <w:rPr>
          <w:b/>
          <w:bCs/>
        </w:rPr>
        <w:t xml:space="preserve">Google Cloud TTS: </w:t>
      </w:r>
      <w:r>
        <w:t>$4 per 1M characters (Standard) and $16 per 1M characters (Neural2); first 4M Standard characters per month are free. Server-side, so it is consistent even on cheap phones. Premium voices (Studio, Chirp 3) are $30 per 1M.</w:t>
      </w:r>
    </w:p>
    <w:p w14:paraId="01DE78A7" w14:textId="77777777" w:rsidR="006C2B1E" w:rsidRDefault="00000000">
      <w:pPr>
        <w:pStyle w:val="ListParagraph"/>
        <w:numPr>
          <w:ilvl w:val="0"/>
          <w:numId w:val="2"/>
        </w:numPr>
        <w:spacing w:after="60"/>
      </w:pPr>
      <w:r>
        <w:rPr>
          <w:b/>
          <w:bCs/>
        </w:rPr>
        <w:t xml:space="preserve">Azure / </w:t>
      </w:r>
      <w:proofErr w:type="spellStart"/>
      <w:r>
        <w:rPr>
          <w:b/>
          <w:bCs/>
        </w:rPr>
        <w:t>ElevenLabs</w:t>
      </w:r>
      <w:proofErr w:type="spellEnd"/>
      <w:r>
        <w:rPr>
          <w:b/>
          <w:bCs/>
        </w:rPr>
        <w:t xml:space="preserve">: </w:t>
      </w:r>
      <w:r>
        <w:t>Broad coverage at varying (often enterprise-tier) cost. Consistent for cheap-phone users.</w:t>
      </w:r>
    </w:p>
    <w:p w14:paraId="1821079E" w14:textId="77777777" w:rsidR="006C2B1E" w:rsidRPr="007D5050" w:rsidRDefault="00000000">
      <w:pPr>
        <w:pStyle w:val="Heading1"/>
        <w:rPr>
          <w:rFonts w:ascii="AVENIR BOOK OBLIQUE" w:hAnsi="AVENIR BOOK OBLIQUE"/>
          <w:color w:val="000000" w:themeColor="text1"/>
        </w:rPr>
      </w:pPr>
      <w:r w:rsidRPr="007D5050">
        <w:rPr>
          <w:rFonts w:ascii="AVENIR BOOK OBLIQUE" w:hAnsi="AVENIR BOOK OBLIQUE"/>
          <w:color w:val="000000" w:themeColor="text1"/>
        </w:rPr>
        <w:t>7. Cost Model (Per Document)</w:t>
      </w:r>
    </w:p>
    <w:p w14:paraId="462DFD1C" w14:textId="77777777" w:rsidR="006C2B1E" w:rsidRDefault="00000000">
      <w:pPr>
        <w:spacing w:after="120" w:line="276" w:lineRule="auto"/>
      </w:pPr>
      <w:r>
        <w:t>Rough back-of-the-envelope estimate for one ~one-page document, using current (June 2026) rates:</w:t>
      </w:r>
    </w:p>
    <w:tbl>
      <w:tblPr>
        <w:tblpPr w:leftFromText="180" w:rightFromText="180" w:horzAnchor="margin" w:tblpY="-12333"/>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2"/>
        <w:gridCol w:w="2972"/>
        <w:gridCol w:w="2594"/>
        <w:gridCol w:w="3750"/>
        <w:gridCol w:w="22"/>
      </w:tblGrid>
      <w:tr w:rsidR="006C2B1E" w14:paraId="463D5F50" w14:textId="77777777" w:rsidTr="00304D1A">
        <w:tblPrEx>
          <w:tblCellMar>
            <w:top w:w="0" w:type="dxa"/>
            <w:bottom w:w="0" w:type="dxa"/>
          </w:tblCellMar>
        </w:tblPrEx>
        <w:trPr>
          <w:gridAfter w:val="1"/>
          <w:wAfter w:w="22" w:type="dxa"/>
          <w:tblHeader/>
        </w:trPr>
        <w:tc>
          <w:tcPr>
            <w:tcW w:w="2994" w:type="dxa"/>
            <w:gridSpan w:val="2"/>
            <w:shd w:val="clear" w:color="auto" w:fill="2E6DB4"/>
            <w:tcMar>
              <w:top w:w="80" w:type="dxa"/>
              <w:left w:w="120" w:type="dxa"/>
              <w:bottom w:w="80" w:type="dxa"/>
              <w:right w:w="120" w:type="dxa"/>
            </w:tcMar>
          </w:tcPr>
          <w:p w14:paraId="6D53E44D" w14:textId="77777777" w:rsidR="006C2B1E" w:rsidRDefault="00000000" w:rsidP="00304D1A">
            <w:r>
              <w:rPr>
                <w:b/>
                <w:bCs/>
                <w:color w:val="FFFFFF"/>
              </w:rPr>
              <w:lastRenderedPageBreak/>
              <w:t>Component</w:t>
            </w:r>
          </w:p>
        </w:tc>
        <w:tc>
          <w:tcPr>
            <w:tcW w:w="2594" w:type="dxa"/>
            <w:shd w:val="clear" w:color="auto" w:fill="2E6DB4"/>
            <w:tcMar>
              <w:top w:w="80" w:type="dxa"/>
              <w:left w:w="120" w:type="dxa"/>
              <w:bottom w:w="80" w:type="dxa"/>
              <w:right w:w="120" w:type="dxa"/>
            </w:tcMar>
          </w:tcPr>
          <w:p w14:paraId="466A429A" w14:textId="77777777" w:rsidR="006C2B1E" w:rsidRDefault="00000000" w:rsidP="00304D1A">
            <w:r>
              <w:rPr>
                <w:b/>
                <w:bCs/>
                <w:color w:val="FFFFFF"/>
              </w:rPr>
              <w:t>Estimated cost</w:t>
            </w:r>
          </w:p>
        </w:tc>
        <w:tc>
          <w:tcPr>
            <w:tcW w:w="3750" w:type="dxa"/>
            <w:shd w:val="clear" w:color="auto" w:fill="2E6DB4"/>
            <w:tcMar>
              <w:top w:w="80" w:type="dxa"/>
              <w:left w:w="120" w:type="dxa"/>
              <w:bottom w:w="80" w:type="dxa"/>
              <w:right w:w="120" w:type="dxa"/>
            </w:tcMar>
          </w:tcPr>
          <w:p w14:paraId="7589E5AF" w14:textId="77777777" w:rsidR="006C2B1E" w:rsidRDefault="00000000" w:rsidP="00304D1A">
            <w:r>
              <w:rPr>
                <w:b/>
                <w:bCs/>
                <w:color w:val="FFFFFF"/>
              </w:rPr>
              <w:t>Notes</w:t>
            </w:r>
          </w:p>
        </w:tc>
      </w:tr>
      <w:tr w:rsidR="006C2B1E" w14:paraId="1CADD4C9" w14:textId="77777777" w:rsidTr="00304D1A">
        <w:tblPrEx>
          <w:tblCellMar>
            <w:top w:w="0" w:type="dxa"/>
            <w:bottom w:w="0" w:type="dxa"/>
          </w:tblCellMar>
        </w:tblPrEx>
        <w:trPr>
          <w:gridAfter w:val="1"/>
          <w:wAfter w:w="22" w:type="dxa"/>
        </w:trPr>
        <w:tc>
          <w:tcPr>
            <w:tcW w:w="2994" w:type="dxa"/>
            <w:gridSpan w:val="2"/>
            <w:shd w:val="clear" w:color="auto" w:fill="F2F6FB"/>
            <w:tcMar>
              <w:top w:w="70" w:type="dxa"/>
              <w:left w:w="120" w:type="dxa"/>
              <w:bottom w:w="70" w:type="dxa"/>
              <w:right w:w="120" w:type="dxa"/>
            </w:tcMar>
          </w:tcPr>
          <w:p w14:paraId="3B7E59C1" w14:textId="77777777" w:rsidR="006C2B1E" w:rsidRDefault="00000000" w:rsidP="00304D1A">
            <w:r>
              <w:t>AI model (Gemini 2.5 Flash-Lite)</w:t>
            </w:r>
          </w:p>
        </w:tc>
        <w:tc>
          <w:tcPr>
            <w:tcW w:w="2594" w:type="dxa"/>
            <w:shd w:val="clear" w:color="auto" w:fill="F2F6FB"/>
            <w:tcMar>
              <w:top w:w="70" w:type="dxa"/>
              <w:left w:w="120" w:type="dxa"/>
              <w:bottom w:w="70" w:type="dxa"/>
              <w:right w:w="120" w:type="dxa"/>
            </w:tcMar>
          </w:tcPr>
          <w:p w14:paraId="794604D8" w14:textId="77777777" w:rsidR="006C2B1E" w:rsidRDefault="00000000" w:rsidP="00304D1A">
            <w:r>
              <w:t>~$0.002 per doc</w:t>
            </w:r>
          </w:p>
        </w:tc>
        <w:tc>
          <w:tcPr>
            <w:tcW w:w="3750" w:type="dxa"/>
            <w:shd w:val="clear" w:color="auto" w:fill="F2F6FB"/>
            <w:tcMar>
              <w:top w:w="70" w:type="dxa"/>
              <w:left w:w="120" w:type="dxa"/>
              <w:bottom w:w="70" w:type="dxa"/>
              <w:right w:w="120" w:type="dxa"/>
            </w:tcMar>
          </w:tcPr>
          <w:p w14:paraId="0E34DA78" w14:textId="77777777" w:rsidR="006C2B1E" w:rsidRDefault="00000000" w:rsidP="00304D1A">
            <w:r>
              <w:t>2.5 Flash-Lite ~$0.10/1M input, $0.40/1M output; a one-page image + short summary is small. 2.5 Flash costs more.</w:t>
            </w:r>
          </w:p>
        </w:tc>
      </w:tr>
      <w:tr w:rsidR="006C2B1E" w14:paraId="1C0D53E1" w14:textId="77777777" w:rsidTr="00304D1A">
        <w:tblPrEx>
          <w:tblCellMar>
            <w:top w:w="0" w:type="dxa"/>
            <w:bottom w:w="0" w:type="dxa"/>
          </w:tblCellMar>
        </w:tblPrEx>
        <w:trPr>
          <w:gridAfter w:val="1"/>
          <w:wAfter w:w="22" w:type="dxa"/>
        </w:trPr>
        <w:tc>
          <w:tcPr>
            <w:tcW w:w="2994" w:type="dxa"/>
            <w:gridSpan w:val="2"/>
            <w:shd w:val="clear" w:color="auto" w:fill="FFFFFF"/>
            <w:tcMar>
              <w:top w:w="70" w:type="dxa"/>
              <w:left w:w="120" w:type="dxa"/>
              <w:bottom w:w="70" w:type="dxa"/>
              <w:right w:w="120" w:type="dxa"/>
            </w:tcMar>
          </w:tcPr>
          <w:p w14:paraId="53C8D66B" w14:textId="77777777" w:rsidR="006C2B1E" w:rsidRDefault="00000000" w:rsidP="00304D1A">
            <w:r>
              <w:t>Cloud TTS (if chosen)</w:t>
            </w:r>
          </w:p>
        </w:tc>
        <w:tc>
          <w:tcPr>
            <w:tcW w:w="2594" w:type="dxa"/>
            <w:shd w:val="clear" w:color="auto" w:fill="FFFFFF"/>
            <w:tcMar>
              <w:top w:w="70" w:type="dxa"/>
              <w:left w:w="120" w:type="dxa"/>
              <w:bottom w:w="70" w:type="dxa"/>
              <w:right w:w="120" w:type="dxa"/>
            </w:tcMar>
          </w:tcPr>
          <w:p w14:paraId="5AD6B7F0" w14:textId="77777777" w:rsidR="006C2B1E" w:rsidRDefault="00000000" w:rsidP="00304D1A">
            <w:r>
              <w:t>~$0.004–$0.006 (Standard)</w:t>
            </w:r>
          </w:p>
        </w:tc>
        <w:tc>
          <w:tcPr>
            <w:tcW w:w="3750" w:type="dxa"/>
            <w:shd w:val="clear" w:color="auto" w:fill="FFFFFF"/>
            <w:tcMar>
              <w:top w:w="70" w:type="dxa"/>
              <w:left w:w="120" w:type="dxa"/>
              <w:bottom w:w="70" w:type="dxa"/>
              <w:right w:w="120" w:type="dxa"/>
            </w:tcMar>
          </w:tcPr>
          <w:p w14:paraId="7A5B4FB2" w14:textId="77777777" w:rsidR="006C2B1E" w:rsidRDefault="00000000" w:rsidP="00304D1A">
            <w:r>
              <w:t>1,000–1,500-char summary at $4/1M. Neural2 ≈ $0.016–$0.024 at $16/1M.</w:t>
            </w:r>
          </w:p>
        </w:tc>
      </w:tr>
      <w:tr w:rsidR="006C2B1E" w14:paraId="02579A1C" w14:textId="77777777" w:rsidTr="00304D1A">
        <w:tblPrEx>
          <w:tblCellMar>
            <w:top w:w="0" w:type="dxa"/>
            <w:bottom w:w="0" w:type="dxa"/>
          </w:tblCellMar>
        </w:tblPrEx>
        <w:trPr>
          <w:gridAfter w:val="1"/>
          <w:wAfter w:w="22" w:type="dxa"/>
        </w:trPr>
        <w:tc>
          <w:tcPr>
            <w:tcW w:w="2994" w:type="dxa"/>
            <w:gridSpan w:val="2"/>
            <w:shd w:val="clear" w:color="auto" w:fill="F2F6FB"/>
            <w:tcMar>
              <w:top w:w="70" w:type="dxa"/>
              <w:left w:w="120" w:type="dxa"/>
              <w:bottom w:w="70" w:type="dxa"/>
              <w:right w:w="120" w:type="dxa"/>
            </w:tcMar>
          </w:tcPr>
          <w:p w14:paraId="4657AE16" w14:textId="77777777" w:rsidR="006C2B1E" w:rsidRDefault="00000000" w:rsidP="00304D1A">
            <w:proofErr w:type="spellStart"/>
            <w:r>
              <w:t>Supabase</w:t>
            </w:r>
            <w:proofErr w:type="spellEnd"/>
            <w:r>
              <w:t xml:space="preserve"> Storage</w:t>
            </w:r>
          </w:p>
        </w:tc>
        <w:tc>
          <w:tcPr>
            <w:tcW w:w="2594" w:type="dxa"/>
            <w:shd w:val="clear" w:color="auto" w:fill="F2F6FB"/>
            <w:tcMar>
              <w:top w:w="70" w:type="dxa"/>
              <w:left w:w="120" w:type="dxa"/>
              <w:bottom w:w="70" w:type="dxa"/>
              <w:right w:w="120" w:type="dxa"/>
            </w:tcMar>
          </w:tcPr>
          <w:p w14:paraId="2CBE698B" w14:textId="77777777" w:rsidR="006C2B1E" w:rsidRDefault="00000000" w:rsidP="00304D1A">
            <w:r>
              <w:t>Negligible</w:t>
            </w:r>
          </w:p>
        </w:tc>
        <w:tc>
          <w:tcPr>
            <w:tcW w:w="3750" w:type="dxa"/>
            <w:shd w:val="clear" w:color="auto" w:fill="F2F6FB"/>
            <w:tcMar>
              <w:top w:w="70" w:type="dxa"/>
              <w:left w:w="120" w:type="dxa"/>
              <w:bottom w:w="70" w:type="dxa"/>
              <w:right w:w="120" w:type="dxa"/>
            </w:tcMar>
          </w:tcPr>
          <w:p w14:paraId="1FE3D463" w14:textId="77777777" w:rsidR="006C2B1E" w:rsidRDefault="00000000" w:rsidP="00304D1A">
            <w:r>
              <w:t>Images deleted immediately after processing.</w:t>
            </w:r>
          </w:p>
        </w:tc>
      </w:tr>
      <w:tr w:rsidR="006C2B1E" w14:paraId="55E75000" w14:textId="77777777" w:rsidTr="00304D1A">
        <w:tblPrEx>
          <w:tblBorders>
            <w:top w:val="single" w:sz="1" w:space="0" w:color="FFF4E5"/>
            <w:left w:val="single" w:sz="18" w:space="0" w:color="B26A00"/>
            <w:bottom w:val="single" w:sz="1" w:space="0" w:color="FFF4E5"/>
            <w:right w:val="single" w:sz="1" w:space="0" w:color="FFF4E5"/>
            <w:insideH w:val="none" w:sz="0" w:space="0" w:color="FFF4E5"/>
            <w:insideV w:val="none" w:sz="0" w:space="0" w:color="FFF4E5"/>
          </w:tblBorders>
          <w:tblCellMar>
            <w:top w:w="0" w:type="dxa"/>
            <w:bottom w:w="0" w:type="dxa"/>
          </w:tblCellMar>
        </w:tblPrEx>
        <w:trPr>
          <w:gridBefore w:val="1"/>
          <w:wBefore w:w="22" w:type="dxa"/>
          <w:trHeight w:val="191"/>
        </w:trPr>
        <w:tc>
          <w:tcPr>
            <w:tcW w:w="9338" w:type="dxa"/>
            <w:gridSpan w:val="4"/>
            <w:shd w:val="clear" w:color="auto" w:fill="FFF4E5"/>
            <w:tcMar>
              <w:top w:w="120" w:type="dxa"/>
              <w:left w:w="200" w:type="dxa"/>
              <w:bottom w:w="120" w:type="dxa"/>
              <w:right w:w="200" w:type="dxa"/>
            </w:tcMar>
          </w:tcPr>
          <w:p w14:paraId="58C9EF1F" w14:textId="5C51F4CA" w:rsidR="006C2B1E" w:rsidRDefault="006C2B1E" w:rsidP="00304D1A">
            <w:pPr>
              <w:spacing w:after="120" w:line="276" w:lineRule="auto"/>
            </w:pPr>
          </w:p>
        </w:tc>
      </w:tr>
    </w:tbl>
    <w:p w14:paraId="25F504BD" w14:textId="77777777" w:rsidR="006C2B1E" w:rsidRPr="007D5050" w:rsidRDefault="00000000">
      <w:pPr>
        <w:pStyle w:val="Heading1"/>
        <w:rPr>
          <w:rFonts w:ascii="AVENIR BOOK OBLIQUE" w:hAnsi="AVENIR BOOK OBLIQUE"/>
          <w:color w:val="000000" w:themeColor="text1"/>
        </w:rPr>
      </w:pPr>
      <w:r w:rsidRPr="007D5050">
        <w:rPr>
          <w:rFonts w:ascii="AVENIR BOOK OBLIQUE" w:hAnsi="AVENIR BOOK OBLIQUE"/>
          <w:color w:val="000000" w:themeColor="text1"/>
        </w:rPr>
        <w:t>8. Privacy &amp; Data Safety Architecture</w:t>
      </w:r>
    </w:p>
    <w:p w14:paraId="414ABDB2" w14:textId="77777777" w:rsidR="006C2B1E" w:rsidRDefault="00000000">
      <w:pPr>
        <w:pStyle w:val="ListParagraph"/>
        <w:numPr>
          <w:ilvl w:val="0"/>
          <w:numId w:val="2"/>
        </w:numPr>
        <w:spacing w:after="60"/>
      </w:pPr>
      <w:r>
        <w:rPr>
          <w:b/>
          <w:bCs/>
        </w:rPr>
        <w:t xml:space="preserve">Cloud Processing Disclosure: </w:t>
      </w:r>
      <w:r>
        <w:t>The user's image is sent to a cloud model (Gemini) for processing. This must be disclosed clearly and in the user's language before capture.</w:t>
      </w:r>
    </w:p>
    <w:p w14:paraId="6B5C2875" w14:textId="77777777" w:rsidR="006C2B1E" w:rsidRDefault="00000000">
      <w:pPr>
        <w:pStyle w:val="ListParagraph"/>
        <w:numPr>
          <w:ilvl w:val="0"/>
          <w:numId w:val="2"/>
        </w:numPr>
        <w:spacing w:after="60"/>
      </w:pPr>
      <w:r>
        <w:rPr>
          <w:b/>
          <w:bCs/>
        </w:rPr>
        <w:t xml:space="preserve">NGO Approval: </w:t>
      </w:r>
      <w:r>
        <w:t>Partnering NGO(s) must explicitly approve the cloud-processing approach. If they are not comfortable sending sensitive documents to a cloud API, this is a major architectural constraint that must be surfaced and resolved before build.</w:t>
      </w:r>
    </w:p>
    <w:p w14:paraId="498905B1" w14:textId="77777777" w:rsidR="006C2B1E" w:rsidRDefault="00000000">
      <w:pPr>
        <w:pStyle w:val="ListParagraph"/>
        <w:numPr>
          <w:ilvl w:val="0"/>
          <w:numId w:val="2"/>
        </w:numPr>
        <w:spacing w:after="60"/>
      </w:pPr>
      <w:r>
        <w:rPr>
          <w:b/>
          <w:bCs/>
        </w:rPr>
        <w:t xml:space="preserve">Data Retention: </w:t>
      </w:r>
      <w:r>
        <w:t xml:space="preserve">Images in </w:t>
      </w:r>
      <w:proofErr w:type="spellStart"/>
      <w:r>
        <w:t>Supabase</w:t>
      </w:r>
      <w:proofErr w:type="spellEnd"/>
      <w:r>
        <w:t xml:space="preserve"> must be deleted immediately after processing to minimize risk.</w:t>
      </w:r>
    </w:p>
    <w:p w14:paraId="28AC3470" w14:textId="77777777" w:rsidR="006C2B1E" w:rsidRDefault="00000000">
      <w:pPr>
        <w:pStyle w:val="ListParagraph"/>
        <w:numPr>
          <w:ilvl w:val="0"/>
          <w:numId w:val="2"/>
        </w:numPr>
        <w:spacing w:after="60"/>
      </w:pPr>
      <w:r>
        <w:rPr>
          <w:b/>
          <w:bCs/>
        </w:rPr>
        <w:t xml:space="preserve">TTS data path: </w:t>
      </w:r>
      <w:r>
        <w:t xml:space="preserve">If the Web Speech API is used, confirm voices run </w:t>
      </w:r>
      <w:proofErr w:type="gramStart"/>
      <w:r>
        <w:t>on-device</w:t>
      </w:r>
      <w:proofErr w:type="gramEnd"/>
      <w:r>
        <w:t xml:space="preserve">; </w:t>
      </w:r>
      <w:proofErr w:type="gramStart"/>
      <w:r>
        <w:t>otherwise</w:t>
      </w:r>
      <w:proofErr w:type="gramEnd"/>
      <w:r>
        <w:t xml:space="preserve"> summary text may be sent to a third-party voice service. Server-side Cloud TTS keeps this within a single, contractible vendor.</w:t>
      </w:r>
    </w:p>
    <w:p w14:paraId="71647E0F" w14:textId="278FDF34" w:rsidR="006C2B1E" w:rsidRPr="007D5050" w:rsidRDefault="00000000">
      <w:pPr>
        <w:pStyle w:val="Heading1"/>
        <w:rPr>
          <w:rFonts w:ascii="AVENIR BOOK OBLIQUE" w:hAnsi="AVENIR BOOK OBLIQUE"/>
          <w:color w:val="000000" w:themeColor="text1"/>
        </w:rPr>
      </w:pPr>
      <w:r w:rsidRPr="007D5050">
        <w:rPr>
          <w:rFonts w:ascii="AVENIR BOOK OBLIQUE" w:hAnsi="AVENIR BOOK OBLIQUE"/>
          <w:color w:val="000000" w:themeColor="text1"/>
        </w:rPr>
        <w:t xml:space="preserve">9. Key Risks </w:t>
      </w:r>
    </w:p>
    <w:p w14:paraId="3744E954" w14:textId="77777777" w:rsidR="006C2B1E" w:rsidRDefault="00000000">
      <w:pPr>
        <w:pStyle w:val="ListParagraph"/>
        <w:numPr>
          <w:ilvl w:val="0"/>
          <w:numId w:val="2"/>
        </w:numPr>
        <w:spacing w:after="60"/>
      </w:pPr>
      <w:r>
        <w:rPr>
          <w:b/>
          <w:bCs/>
        </w:rPr>
        <w:t xml:space="preserve">OCR accuracy on real photos. </w:t>
      </w:r>
      <w:r>
        <w:t>Reliable extraction from phone photos of dense, low-quality, often multilingual paperwork is the core product risk. Plan for image-quality guidance, retake prompts, and confidence checks. This matters more than the choice of TTS vendor.</w:t>
      </w:r>
    </w:p>
    <w:p w14:paraId="69B81A4C" w14:textId="77777777" w:rsidR="006C2B1E" w:rsidRDefault="00000000">
      <w:pPr>
        <w:pStyle w:val="ListParagraph"/>
        <w:numPr>
          <w:ilvl w:val="0"/>
          <w:numId w:val="2"/>
        </w:numPr>
        <w:spacing w:after="60"/>
      </w:pPr>
      <w:r>
        <w:rPr>
          <w:b/>
          <w:bCs/>
        </w:rPr>
        <w:t xml:space="preserve">Legal-interpretation liability. </w:t>
      </w:r>
      <w:r>
        <w:t xml:space="preserve">Flagging clauses for a </w:t>
      </w:r>
      <w:proofErr w:type="gramStart"/>
      <w:r>
        <w:t>vulnerable audience risks</w:t>
      </w:r>
      <w:proofErr w:type="gramEnd"/>
      <w:r>
        <w:t xml:space="preserve"> being treated as legal advice. Position </w:t>
      </w:r>
      <w:proofErr w:type="spellStart"/>
      <w:r>
        <w:t>EquiDoc</w:t>
      </w:r>
      <w:proofErr w:type="spellEnd"/>
      <w:r>
        <w:t xml:space="preserve"> as comprehension support, not advice; show an explicit disclaimer; and seek NGO/legal review of the simplification prompts.</w:t>
      </w:r>
    </w:p>
    <w:p w14:paraId="56D5CD32" w14:textId="77777777" w:rsidR="006C2B1E" w:rsidRDefault="00000000">
      <w:pPr>
        <w:pStyle w:val="ListParagraph"/>
        <w:numPr>
          <w:ilvl w:val="0"/>
          <w:numId w:val="2"/>
        </w:numPr>
        <w:spacing w:after="60"/>
      </w:pPr>
      <w:r>
        <w:rPr>
          <w:b/>
          <w:bCs/>
        </w:rPr>
        <w:t xml:space="preserve">Language &amp; dialect coverage. </w:t>
      </w:r>
      <w:r>
        <w:t>Both the LLM and the TTS engine have uneven dialect support. Validate the actual supported set before promising “native dialect” output. (Google TTS supports roughly 50+ languages/variants — verify exact coverage rather than quoting a round number.)</w:t>
      </w:r>
    </w:p>
    <w:p w14:paraId="632DCD1B" w14:textId="557297C5" w:rsidR="006C2B1E" w:rsidRPr="007D5050" w:rsidRDefault="00000000">
      <w:pPr>
        <w:pStyle w:val="Heading1"/>
        <w:rPr>
          <w:rFonts w:ascii="AVENIR BOOK OBLIQUE" w:hAnsi="AVENIR BOOK OBLIQUE"/>
          <w:color w:val="000000" w:themeColor="text1"/>
        </w:rPr>
      </w:pPr>
      <w:r w:rsidRPr="007D5050">
        <w:rPr>
          <w:rFonts w:ascii="AVENIR BOOK OBLIQUE" w:hAnsi="AVENIR BOOK OBLIQUE"/>
          <w:color w:val="000000" w:themeColor="text1"/>
        </w:rPr>
        <w:t xml:space="preserve">10. Future Considerations </w:t>
      </w:r>
    </w:p>
    <w:p w14:paraId="6F226BC2" w14:textId="77777777" w:rsidR="006C2B1E" w:rsidRDefault="00000000">
      <w:pPr>
        <w:pStyle w:val="ListParagraph"/>
        <w:numPr>
          <w:ilvl w:val="0"/>
          <w:numId w:val="2"/>
        </w:numPr>
        <w:spacing w:after="60"/>
      </w:pPr>
      <w:r>
        <w:t>Supported languages and dialects (confirm against model + TTS coverage)</w:t>
      </w:r>
    </w:p>
    <w:p w14:paraId="168CE159" w14:textId="77777777" w:rsidR="006C2B1E" w:rsidRDefault="00000000">
      <w:pPr>
        <w:pStyle w:val="ListParagraph"/>
        <w:numPr>
          <w:ilvl w:val="0"/>
          <w:numId w:val="2"/>
        </w:numPr>
        <w:spacing w:after="60"/>
      </w:pPr>
      <w:r>
        <w:t>Offline capabilities (if any)</w:t>
      </w:r>
    </w:p>
    <w:p w14:paraId="35ADCE27" w14:textId="77777777" w:rsidR="006C2B1E" w:rsidRDefault="00000000">
      <w:pPr>
        <w:pStyle w:val="ListParagraph"/>
        <w:numPr>
          <w:ilvl w:val="0"/>
          <w:numId w:val="2"/>
        </w:numPr>
        <w:spacing w:after="60"/>
      </w:pPr>
      <w:r>
        <w:t>Model selection policy as Gemini versions evolve</w:t>
      </w:r>
    </w:p>
    <w:p w14:paraId="67CA7832" w14:textId="3218D6B1" w:rsidR="006C2B1E" w:rsidRPr="007D5050" w:rsidRDefault="00000000">
      <w:pPr>
        <w:pStyle w:val="Heading1"/>
        <w:rPr>
          <w:rFonts w:ascii="AVENIR BOOK OBLIQUE" w:hAnsi="AVENIR BOOK OBLIQUE"/>
          <w:color w:val="000000" w:themeColor="text1"/>
        </w:rPr>
      </w:pPr>
      <w:r w:rsidRPr="007D5050">
        <w:rPr>
          <w:rFonts w:ascii="AVENIR BOOK OBLIQUE" w:hAnsi="AVENIR BOOK OBLIQUE"/>
          <w:color w:val="000000" w:themeColor="text1"/>
        </w:rPr>
        <w:t xml:space="preserve">Sources </w:t>
      </w:r>
    </w:p>
    <w:p w14:paraId="5D7201AF" w14:textId="77777777" w:rsidR="006C2B1E" w:rsidRDefault="00000000">
      <w:pPr>
        <w:pStyle w:val="ListParagraph"/>
        <w:numPr>
          <w:ilvl w:val="0"/>
          <w:numId w:val="2"/>
        </w:numPr>
        <w:spacing w:after="60"/>
      </w:pPr>
      <w:r>
        <w:t xml:space="preserve">Gemini model deprecations (1.5 retired) — </w:t>
      </w:r>
      <w:hyperlink r:id="rId7" w:history="1">
        <w:r>
          <w:rPr>
            <w:rStyle w:val="Hyperlink"/>
          </w:rPr>
          <w:t>https://ai.google.dev/gemini-api/docs/deprecations</w:t>
        </w:r>
      </w:hyperlink>
    </w:p>
    <w:p w14:paraId="79B78983" w14:textId="77777777" w:rsidR="006C2B1E" w:rsidRDefault="00000000">
      <w:pPr>
        <w:pStyle w:val="ListParagraph"/>
        <w:numPr>
          <w:ilvl w:val="0"/>
          <w:numId w:val="2"/>
        </w:numPr>
        <w:spacing w:after="60"/>
      </w:pPr>
      <w:r>
        <w:lastRenderedPageBreak/>
        <w:t xml:space="preserve">Gemini API pricing — </w:t>
      </w:r>
      <w:hyperlink r:id="rId8" w:history="1">
        <w:r>
          <w:rPr>
            <w:rStyle w:val="Hyperlink"/>
          </w:rPr>
          <w:t>https://ai.google.dev/gemini-api/docs/pricing</w:t>
        </w:r>
      </w:hyperlink>
    </w:p>
    <w:p w14:paraId="112358DC" w14:textId="77777777" w:rsidR="006C2B1E" w:rsidRDefault="00000000">
      <w:pPr>
        <w:pStyle w:val="ListParagraph"/>
        <w:numPr>
          <w:ilvl w:val="0"/>
          <w:numId w:val="2"/>
        </w:numPr>
        <w:spacing w:after="60"/>
      </w:pPr>
      <w:r>
        <w:t xml:space="preserve">Google Cloud Text-to-Speech pricing — </w:t>
      </w:r>
      <w:hyperlink r:id="rId9" w:history="1">
        <w:r>
          <w:rPr>
            <w:rStyle w:val="Hyperlink"/>
          </w:rPr>
          <w:t>https://cloud.google.com/text-to-speech/pricing</w:t>
        </w:r>
      </w:hyperlink>
    </w:p>
    <w:p w14:paraId="1414A38D" w14:textId="77777777" w:rsidR="006C2B1E" w:rsidRDefault="00000000">
      <w:pPr>
        <w:pStyle w:val="ListParagraph"/>
        <w:numPr>
          <w:ilvl w:val="0"/>
          <w:numId w:val="2"/>
        </w:numPr>
        <w:spacing w:after="60"/>
      </w:pPr>
      <w:r>
        <w:t xml:space="preserve">Next.js versions / EOL — </w:t>
      </w:r>
      <w:hyperlink r:id="rId10" w:history="1">
        <w:r>
          <w:rPr>
            <w:rStyle w:val="Hyperlink"/>
          </w:rPr>
          <w:t>https://endoflife.date/nextjs</w:t>
        </w:r>
      </w:hyperlink>
    </w:p>
    <w:p w14:paraId="76D31177" w14:textId="77777777" w:rsidR="006C2B1E" w:rsidRDefault="00000000">
      <w:pPr>
        <w:pStyle w:val="ListParagraph"/>
        <w:numPr>
          <w:ilvl w:val="0"/>
          <w:numId w:val="2"/>
        </w:numPr>
        <w:spacing w:after="60"/>
      </w:pPr>
      <w:r>
        <w:t xml:space="preserve">Web Speech API (MDN) — </w:t>
      </w:r>
      <w:hyperlink r:id="rId11" w:history="1">
        <w:r>
          <w:rPr>
            <w:rStyle w:val="Hyperlink"/>
          </w:rPr>
          <w:t>https://developer.mozilla.org/en-US/docs/Web/API/Web_Speech_API</w:t>
        </w:r>
      </w:hyperlink>
    </w:p>
    <w:sectPr w:rsidR="006C2B1E">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C60E2" w14:textId="77777777" w:rsidR="009E2F61" w:rsidRDefault="009E2F61">
      <w:r>
        <w:separator/>
      </w:r>
    </w:p>
  </w:endnote>
  <w:endnote w:type="continuationSeparator" w:id="0">
    <w:p w14:paraId="645861A4" w14:textId="77777777" w:rsidR="009E2F61" w:rsidRDefault="009E2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OBLIQUE">
    <w:panose1 w:val="02000503020000020003"/>
    <w:charset w:val="00"/>
    <w:family w:val="auto"/>
    <w:pitch w:val="variable"/>
    <w:sig w:usb0="800000A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4AB87" w14:textId="77777777" w:rsidR="006C2B1E" w:rsidRDefault="00000000">
    <w:pPr>
      <w:jc w:val="center"/>
    </w:pPr>
    <w:proofErr w:type="spellStart"/>
    <w:r>
      <w:rPr>
        <w:color w:val="595959"/>
        <w:sz w:val="16"/>
        <w:szCs w:val="16"/>
      </w:rPr>
      <w:t>EquiDoc</w:t>
    </w:r>
    <w:proofErr w:type="spellEnd"/>
    <w:r>
      <w:rPr>
        <w:color w:val="595959"/>
        <w:sz w:val="16"/>
        <w:szCs w:val="16"/>
      </w:rPr>
      <w:t xml:space="preserve"> PRD </w:t>
    </w:r>
    <w:proofErr w:type="gramStart"/>
    <w:r>
      <w:rPr>
        <w:color w:val="595959"/>
        <w:sz w:val="16"/>
        <w:szCs w:val="16"/>
      </w:rPr>
      <w:t>v2.0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D505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58DE9" w14:textId="77777777" w:rsidR="009E2F61" w:rsidRDefault="009E2F61">
      <w:r>
        <w:separator/>
      </w:r>
    </w:p>
  </w:footnote>
  <w:footnote w:type="continuationSeparator" w:id="0">
    <w:p w14:paraId="17465A20" w14:textId="77777777" w:rsidR="009E2F61" w:rsidRDefault="009E2F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D23DB"/>
    <w:multiLevelType w:val="hybridMultilevel"/>
    <w:tmpl w:val="9A423B4A"/>
    <w:lvl w:ilvl="0" w:tplc="FB02FEF2">
      <w:start w:val="1"/>
      <w:numFmt w:val="bullet"/>
      <w:lvlText w:val="•"/>
      <w:lvlJc w:val="left"/>
      <w:pPr>
        <w:ind w:left="540" w:hanging="280"/>
      </w:pPr>
    </w:lvl>
    <w:lvl w:ilvl="1" w:tplc="51AEF2A6">
      <w:numFmt w:val="decimal"/>
      <w:lvlText w:val=""/>
      <w:lvlJc w:val="left"/>
    </w:lvl>
    <w:lvl w:ilvl="2" w:tplc="65E808CC">
      <w:numFmt w:val="decimal"/>
      <w:lvlText w:val=""/>
      <w:lvlJc w:val="left"/>
    </w:lvl>
    <w:lvl w:ilvl="3" w:tplc="EA263D06">
      <w:numFmt w:val="decimal"/>
      <w:lvlText w:val=""/>
      <w:lvlJc w:val="left"/>
    </w:lvl>
    <w:lvl w:ilvl="4" w:tplc="894E1C1C">
      <w:numFmt w:val="decimal"/>
      <w:lvlText w:val=""/>
      <w:lvlJc w:val="left"/>
    </w:lvl>
    <w:lvl w:ilvl="5" w:tplc="C14C36DE">
      <w:numFmt w:val="decimal"/>
      <w:lvlText w:val=""/>
      <w:lvlJc w:val="left"/>
    </w:lvl>
    <w:lvl w:ilvl="6" w:tplc="31366464">
      <w:numFmt w:val="decimal"/>
      <w:lvlText w:val=""/>
      <w:lvlJc w:val="left"/>
    </w:lvl>
    <w:lvl w:ilvl="7" w:tplc="DBE6AA4E">
      <w:numFmt w:val="decimal"/>
      <w:lvlText w:val=""/>
      <w:lvlJc w:val="left"/>
    </w:lvl>
    <w:lvl w:ilvl="8" w:tplc="E28A77F0">
      <w:numFmt w:val="decimal"/>
      <w:lvlText w:val=""/>
      <w:lvlJc w:val="left"/>
    </w:lvl>
  </w:abstractNum>
  <w:abstractNum w:abstractNumId="1" w15:restartNumberingAfterBreak="0">
    <w:nsid w:val="215C05FE"/>
    <w:multiLevelType w:val="hybridMultilevel"/>
    <w:tmpl w:val="39A84D78"/>
    <w:lvl w:ilvl="0" w:tplc="49D62664">
      <w:start w:val="1"/>
      <w:numFmt w:val="decimal"/>
      <w:lvlText w:val="%1."/>
      <w:lvlJc w:val="left"/>
      <w:pPr>
        <w:ind w:left="540" w:hanging="280"/>
      </w:pPr>
    </w:lvl>
    <w:lvl w:ilvl="1" w:tplc="292CE9C6">
      <w:numFmt w:val="decimal"/>
      <w:lvlText w:val=""/>
      <w:lvlJc w:val="left"/>
    </w:lvl>
    <w:lvl w:ilvl="2" w:tplc="126C200C">
      <w:numFmt w:val="decimal"/>
      <w:lvlText w:val=""/>
      <w:lvlJc w:val="left"/>
    </w:lvl>
    <w:lvl w:ilvl="3" w:tplc="CD56D10E">
      <w:numFmt w:val="decimal"/>
      <w:lvlText w:val=""/>
      <w:lvlJc w:val="left"/>
    </w:lvl>
    <w:lvl w:ilvl="4" w:tplc="A10CE19E">
      <w:numFmt w:val="decimal"/>
      <w:lvlText w:val=""/>
      <w:lvlJc w:val="left"/>
    </w:lvl>
    <w:lvl w:ilvl="5" w:tplc="E7DA5A6A">
      <w:numFmt w:val="decimal"/>
      <w:lvlText w:val=""/>
      <w:lvlJc w:val="left"/>
    </w:lvl>
    <w:lvl w:ilvl="6" w:tplc="061CCB7E">
      <w:numFmt w:val="decimal"/>
      <w:lvlText w:val=""/>
      <w:lvlJc w:val="left"/>
    </w:lvl>
    <w:lvl w:ilvl="7" w:tplc="5BFEB646">
      <w:numFmt w:val="decimal"/>
      <w:lvlText w:val=""/>
      <w:lvlJc w:val="left"/>
    </w:lvl>
    <w:lvl w:ilvl="8" w:tplc="47922A10">
      <w:numFmt w:val="decimal"/>
      <w:lvlText w:val=""/>
      <w:lvlJc w:val="left"/>
    </w:lvl>
  </w:abstractNum>
  <w:abstractNum w:abstractNumId="2" w15:restartNumberingAfterBreak="0">
    <w:nsid w:val="34642F38"/>
    <w:multiLevelType w:val="hybridMultilevel"/>
    <w:tmpl w:val="84E60392"/>
    <w:lvl w:ilvl="0" w:tplc="6E48448E">
      <w:start w:val="1"/>
      <w:numFmt w:val="bullet"/>
      <w:lvlText w:val="●"/>
      <w:lvlJc w:val="left"/>
      <w:pPr>
        <w:ind w:left="720" w:hanging="360"/>
      </w:pPr>
    </w:lvl>
    <w:lvl w:ilvl="1" w:tplc="6F7095F2">
      <w:start w:val="1"/>
      <w:numFmt w:val="bullet"/>
      <w:lvlText w:val="○"/>
      <w:lvlJc w:val="left"/>
      <w:pPr>
        <w:ind w:left="1440" w:hanging="360"/>
      </w:pPr>
    </w:lvl>
    <w:lvl w:ilvl="2" w:tplc="12E42140">
      <w:start w:val="1"/>
      <w:numFmt w:val="bullet"/>
      <w:lvlText w:val="■"/>
      <w:lvlJc w:val="left"/>
      <w:pPr>
        <w:ind w:left="2160" w:hanging="360"/>
      </w:pPr>
    </w:lvl>
    <w:lvl w:ilvl="3" w:tplc="DB2004F4">
      <w:start w:val="1"/>
      <w:numFmt w:val="bullet"/>
      <w:lvlText w:val="●"/>
      <w:lvlJc w:val="left"/>
      <w:pPr>
        <w:ind w:left="2880" w:hanging="360"/>
      </w:pPr>
    </w:lvl>
    <w:lvl w:ilvl="4" w:tplc="63E2528C">
      <w:start w:val="1"/>
      <w:numFmt w:val="bullet"/>
      <w:lvlText w:val="○"/>
      <w:lvlJc w:val="left"/>
      <w:pPr>
        <w:ind w:left="3600" w:hanging="360"/>
      </w:pPr>
    </w:lvl>
    <w:lvl w:ilvl="5" w:tplc="414699EC">
      <w:start w:val="1"/>
      <w:numFmt w:val="bullet"/>
      <w:lvlText w:val="■"/>
      <w:lvlJc w:val="left"/>
      <w:pPr>
        <w:ind w:left="4320" w:hanging="360"/>
      </w:pPr>
    </w:lvl>
    <w:lvl w:ilvl="6" w:tplc="92A07276">
      <w:start w:val="1"/>
      <w:numFmt w:val="bullet"/>
      <w:lvlText w:val="●"/>
      <w:lvlJc w:val="left"/>
      <w:pPr>
        <w:ind w:left="5040" w:hanging="360"/>
      </w:pPr>
    </w:lvl>
    <w:lvl w:ilvl="7" w:tplc="8A0EB00A">
      <w:start w:val="1"/>
      <w:numFmt w:val="bullet"/>
      <w:lvlText w:val="●"/>
      <w:lvlJc w:val="left"/>
      <w:pPr>
        <w:ind w:left="5760" w:hanging="360"/>
      </w:pPr>
    </w:lvl>
    <w:lvl w:ilvl="8" w:tplc="0EF07262">
      <w:start w:val="1"/>
      <w:numFmt w:val="bullet"/>
      <w:lvlText w:val="●"/>
      <w:lvlJc w:val="left"/>
      <w:pPr>
        <w:ind w:left="6480" w:hanging="360"/>
      </w:pPr>
    </w:lvl>
  </w:abstractNum>
  <w:num w:numId="1" w16cid:durableId="1270503678">
    <w:abstractNumId w:val="2"/>
    <w:lvlOverride w:ilvl="0">
      <w:startOverride w:val="1"/>
    </w:lvlOverride>
  </w:num>
  <w:num w:numId="2" w16cid:durableId="1711416389">
    <w:abstractNumId w:val="0"/>
    <w:lvlOverride w:ilvl="0">
      <w:startOverride w:val="1"/>
    </w:lvlOverride>
  </w:num>
  <w:num w:numId="3" w16cid:durableId="6048498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B1E"/>
    <w:rsid w:val="00304D1A"/>
    <w:rsid w:val="006C2B1E"/>
    <w:rsid w:val="007D5050"/>
    <w:rsid w:val="00897B6C"/>
    <w:rsid w:val="009E2F61"/>
    <w:rsid w:val="00BC75B0"/>
    <w:rsid w:val="00F123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CD306DA"/>
  <w15:docId w15:val="{69F07B6D-ECF5-B64D-A56B-3A56CDEF3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2E6DB4"/>
      <w:sz w:val="30"/>
      <w:szCs w:val="30"/>
    </w:rPr>
  </w:style>
  <w:style w:type="paragraph" w:styleId="Heading2">
    <w:name w:val="heading 2"/>
    <w:uiPriority w:val="9"/>
    <w:unhideWhenUsed/>
    <w:qFormat/>
    <w:pPr>
      <w:spacing w:before="180" w:after="10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i.google.dev/gemini-api/docs/pric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i.google.dev/gemini-api/docs/deprecation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en-US/docs/Web/API/Web_Speech_API" TargetMode="External"/><Relationship Id="rId5" Type="http://schemas.openxmlformats.org/officeDocument/2006/relationships/footnotes" Target="footnotes.xml"/><Relationship Id="rId10" Type="http://schemas.openxmlformats.org/officeDocument/2006/relationships/hyperlink" Target="https://endoflife.date/nextjs" TargetMode="External"/><Relationship Id="rId4" Type="http://schemas.openxmlformats.org/officeDocument/2006/relationships/webSettings" Target="webSettings.xml"/><Relationship Id="rId9" Type="http://schemas.openxmlformats.org/officeDocument/2006/relationships/hyperlink" Target="https://cloud.google.com/text-to-speech/pric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EquiDoc PRD v2.0</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EquiDoc PRD v2.0</dc:title>
  <dc:creator>EquiDoc</dc:creator>
  <cp:lastModifiedBy>Denzil  Fernandes</cp:lastModifiedBy>
  <cp:revision>3</cp:revision>
  <dcterms:created xsi:type="dcterms:W3CDTF">2026-06-18T08:52:00Z</dcterms:created>
  <dcterms:modified xsi:type="dcterms:W3CDTF">2026-06-18T09:15:00Z</dcterms:modified>
</cp:coreProperties>
</file>