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line="480" w:lineRule="auto"/>
        <w:rPr>
          <w:color w:val="1f1f1f"/>
        </w:rPr>
      </w:pPr>
      <w:r w:rsidDel="00000000" w:rsidR="00000000" w:rsidRPr="00000000">
        <w:rPr>
          <w:color w:val="1f1f1f"/>
          <w:rtl w:val="0"/>
        </w:rPr>
        <w:t xml:space="preserve">Abram Denzlinger</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line="480" w:lineRule="auto"/>
        <w:rPr>
          <w:color w:val="1f1f1f"/>
        </w:rPr>
      </w:pPr>
      <w:r w:rsidDel="00000000" w:rsidR="00000000" w:rsidRPr="00000000">
        <w:rPr>
          <w:color w:val="1f1f1f"/>
          <w:rtl w:val="0"/>
        </w:rPr>
        <w:t xml:space="preserve">July 11, 2026</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line="480" w:lineRule="auto"/>
        <w:rPr>
          <w:b w:val="1"/>
          <w:bCs w:val="1"/>
          <w:color w:val="1f1f1f"/>
          <w:sz w:val="26"/>
          <w:szCs w:val="26"/>
        </w:rPr>
      </w:pPr>
      <w:r w:rsidDel="00000000" w:rsidR="00000000" w:rsidRPr="00000000">
        <w:rPr>
          <w:color w:val="1f1f1f"/>
          <w:rtl w:val="0"/>
        </w:rPr>
        <w:t xml:space="preserve">CSD380 - 7.3 Assignment</w: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0" w:line="480" w:lineRule="auto"/>
        <w:jc w:val="center"/>
        <w:rPr>
          <w:b w:val="1"/>
          <w:bCs w:val="1"/>
        </w:rPr>
      </w:pPr>
      <w:r w:rsidDel="00000000" w:rsidR="00000000" w:rsidRPr="00000000">
        <w:rPr>
          <w:b w:val="1"/>
          <w:bCs w:val="1"/>
          <w:rtl w:val="0"/>
        </w:rPr>
        <w:t xml:space="preserve">The Dangers of Change Approval Processes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480" w:lineRule="auto"/>
        <w:ind w:firstLine="720"/>
        <w:rPr>
          <w:color w:val="1f1f1f"/>
        </w:rPr>
      </w:pPr>
      <w:r w:rsidDel="00000000" w:rsidR="00000000" w:rsidRPr="00000000">
        <w:rPr>
          <w:color w:val="1f1f1f"/>
          <w:rtl w:val="0"/>
        </w:rPr>
        <w:t xml:space="preserve">In the quest for stability, many technology organizations have historically relied on centralized, manual Change Advisory Boards (CABs). These boards were designed as a final line of defense to prevent production outages. However, in modern, fast-paced software environments, these traditional gatekeeping processes often become the primary source of instability and risk. As noted in </w:t>
      </w:r>
      <w:r w:rsidDel="00000000" w:rsidR="00000000" w:rsidRPr="00000000">
        <w:rPr>
          <w:i w:val="1"/>
          <w:iCs w:val="1"/>
          <w:color w:val="1f1f1f"/>
          <w:rtl w:val="0"/>
        </w:rPr>
        <w:t xml:space="preserve">The DevOps Handbook</w:t>
      </w:r>
      <w:r w:rsidDel="00000000" w:rsidR="00000000" w:rsidRPr="00000000">
        <w:rPr>
          <w:color w:val="1f1f1f"/>
          <w:rtl w:val="0"/>
        </w:rPr>
        <w:t xml:space="preserve">, the most effective organizations have moved away from these manual bottlenecks, recognizing that traditional change approval processes often introduce more risk than they mitigate by slowing down feedback loops and encouraging larger, more dangerous deployments (Kim et al., ch. 18).</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480" w:lineRule="auto"/>
        <w:ind w:firstLine="720"/>
        <w:rPr>
          <w:color w:val="1f1f1f"/>
        </w:rPr>
      </w:pPr>
      <w:r w:rsidDel="00000000" w:rsidR="00000000" w:rsidRPr="00000000">
        <w:rPr>
          <w:color w:val="1f1f1f"/>
          <w:rtl w:val="0"/>
        </w:rPr>
        <w:t xml:space="preserve">The traditional CAB approach is rooted in the belief that external review ensures higher quality. However, this assumption frequently proves false. Such boards are often made up of individuals far removed from the technical implementation. As industry analysts at ITSM.tools observe, these boards can "diffuse accountability rather than enforce it," providing the </w:t>
      </w:r>
      <w:r w:rsidDel="00000000" w:rsidR="00000000" w:rsidRPr="00000000">
        <w:rPr>
          <w:i w:val="1"/>
          <w:iCs w:val="1"/>
          <w:color w:val="1f1f1f"/>
          <w:rtl w:val="0"/>
        </w:rPr>
        <w:t xml:space="preserve">appearance</w:t>
      </w:r>
      <w:r w:rsidDel="00000000" w:rsidR="00000000" w:rsidRPr="00000000">
        <w:rPr>
          <w:color w:val="1f1f1f"/>
          <w:rtl w:val="0"/>
        </w:rPr>
        <w:t xml:space="preserve"> of oversight while failing to provide any meaningful technical analysis of the proposed changes (Rance). Because CAB members often lack the necessary context regarding the code or the environment, their review process tends to devolve into "rubber-stamping" or, conversely, arbitrary rejections that stall development momentum.</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480" w:lineRule="auto"/>
        <w:ind w:firstLine="720"/>
        <w:rPr>
          <w:color w:val="1f1f1f"/>
        </w:rPr>
      </w:pPr>
      <w:r w:rsidDel="00000000" w:rsidR="00000000" w:rsidRPr="00000000">
        <w:rPr>
          <w:color w:val="1f1f1f"/>
          <w:rtl w:val="0"/>
        </w:rPr>
        <w:t xml:space="preserve">The most significant danger of a bureaucratic approval process is the unintended consequence of batch size. When a change process is slow and arduous, teams are incentivized to pack as many features and fixes as possible into a single, massive release to avoid the overhead of repeating the approval cycle. According to research from DORA (DevOps Research and Assessment), this strategy is fundamentally flawed. Heavyweight approval processes drive teams toward larger, less frequent releases, which are inherently more complex and difficult to troubleshoot when they inevitably fail (DORA). Smaller, more frequent changes are objectively safer because they are easier to isolate, test, and roll back if an issue occurs. By forcing large batch sizes, CABs inadvertently increase the "change fail rate" they were intended to reduce.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480" w:lineRule="auto"/>
        <w:ind w:firstLine="720"/>
        <w:rPr>
          <w:color w:val="1f1f1f"/>
        </w:rPr>
      </w:pPr>
      <w:r w:rsidDel="00000000" w:rsidR="00000000" w:rsidRPr="00000000">
        <w:rPr>
          <w:color w:val="1f1f1f"/>
          <w:rtl w:val="0"/>
        </w:rPr>
        <w:t xml:space="preserve">The alternative to the manual gatekeeper is the implementation of automated, peer-reviewed pipelines. Instead of relying on a physical meeting, high-performing organizations automate the "quality gates" that ensure a change is safe for production. This includes automated unit testing, integration testing, and security scanning. These processes provide near-instant feedback to developers. As explained by Atlassian, this strategy allows for the categorization of "Standard Changes," which are pre-approved, low-risk, and repeatable tasks that can be fully automated, freeing up human oversight for only the most complex, high-risk modifications (Atlassian).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480" w:lineRule="auto"/>
        <w:ind w:firstLine="720"/>
        <w:rPr>
          <w:color w:val="1f1f1f"/>
        </w:rPr>
      </w:pPr>
      <w:r w:rsidDel="00000000" w:rsidR="00000000" w:rsidRPr="00000000">
        <w:rPr>
          <w:color w:val="1f1f1f"/>
          <w:rtl w:val="0"/>
        </w:rPr>
        <w:t xml:space="preserve">Losses of efficiency and even organizational resilience are just some of the risks that come with traditional change approval. When governance is disconnected from the technical reality of the software, it fosters a culture of blame rather than a culture of learning. To mitigate these risks, organizations can replace the manual, high-latency bureaucracy of the past with automated, high-trust delivery systems. By focusing on building quality into the deployment pipeline rather than inspecting it at the end, firms can achieve the agility and reliability required in the modern digital landscape.</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dnrfxa6sbjwk" w:id="0"/>
      <w:bookmarkEnd w:id="0"/>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0"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0" w:lineRule="auto"/>
        <w:jc w:val="center"/>
        <w:rPr>
          <w:b w:val="1"/>
          <w:bCs w:val="1"/>
        </w:rPr>
      </w:pPr>
      <w:r w:rsidDel="00000000" w:rsidR="00000000" w:rsidRPr="00000000">
        <w:rPr>
          <w:b w:val="1"/>
          <w:bCs w:val="1"/>
          <w:rtl w:val="0"/>
        </w:rPr>
        <w:t xml:space="preserve">Works Cited</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ind w:left="360" w:hanging="360"/>
        <w:rPr>
          <w:color w:val="1f1f1f"/>
        </w:rPr>
      </w:pPr>
      <w:r w:rsidDel="00000000" w:rsidR="00000000" w:rsidRPr="00000000">
        <w:rPr>
          <w:color w:val="1f1f1f"/>
          <w:rtl w:val="0"/>
        </w:rPr>
        <w:t xml:space="preserve">Atlassian. "Types of Change Management for ITSM Teams." </w:t>
      </w:r>
      <w:r w:rsidDel="00000000" w:rsidR="00000000" w:rsidRPr="00000000">
        <w:rPr>
          <w:i w:val="1"/>
          <w:iCs w:val="1"/>
          <w:color w:val="1f1f1f"/>
          <w:rtl w:val="0"/>
        </w:rPr>
        <w:t xml:space="preserve">Atlassian</w:t>
      </w:r>
      <w:r w:rsidDel="00000000" w:rsidR="00000000" w:rsidRPr="00000000">
        <w:rPr>
          <w:color w:val="1f1f1f"/>
          <w:rtl w:val="0"/>
        </w:rPr>
        <w:t xml:space="preserve">, 2026,</w:t>
      </w:r>
      <w:hyperlink r:id="rId6">
        <w:r w:rsidDel="00000000" w:rsidR="00000000" w:rsidRPr="00000000">
          <w:rPr>
            <w:color w:val="1f1f1f"/>
            <w:rtl w:val="0"/>
          </w:rPr>
          <w:t xml:space="preserve"> </w:t>
        </w:r>
      </w:hyperlink>
      <w:hyperlink r:id="rId7">
        <w:r w:rsidDel="00000000" w:rsidR="00000000" w:rsidRPr="00000000">
          <w:rPr>
            <w:color w:val="1f1f1f"/>
            <w:u w:val="single"/>
            <w:rtl w:val="0"/>
          </w:rPr>
          <w:t xml:space="preserve">www.atlassian.com/itsm/change-management/types</w:t>
        </w:r>
      </w:hyperlink>
      <w:r w:rsidDel="00000000" w:rsidR="00000000" w:rsidRPr="00000000">
        <w:rPr>
          <w:color w:val="1f1f1f"/>
          <w:rtl w:val="0"/>
        </w:rPr>
        <w:t xml:space="preserve">. Accessed 11 July 2026.</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ind w:left="360" w:hanging="360"/>
        <w:rPr>
          <w:color w:val="1f1f1f"/>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ind w:left="360" w:hanging="360"/>
        <w:rPr>
          <w:color w:val="1f1f1f"/>
        </w:rPr>
      </w:pPr>
      <w:r w:rsidDel="00000000" w:rsidR="00000000" w:rsidRPr="00000000">
        <w:rPr>
          <w:color w:val="1f1f1f"/>
          <w:rtl w:val="0"/>
        </w:rPr>
        <w:t xml:space="preserve">DORA. "Capabilities: Streamlining Change Approval." </w:t>
      </w:r>
      <w:r w:rsidDel="00000000" w:rsidR="00000000" w:rsidRPr="00000000">
        <w:rPr>
          <w:i w:val="1"/>
          <w:iCs w:val="1"/>
          <w:color w:val="1f1f1f"/>
          <w:rtl w:val="0"/>
        </w:rPr>
        <w:t xml:space="preserve">DORA.dev</w:t>
      </w:r>
      <w:r w:rsidDel="00000000" w:rsidR="00000000" w:rsidRPr="00000000">
        <w:rPr>
          <w:color w:val="1f1f1f"/>
          <w:rtl w:val="0"/>
        </w:rPr>
        <w:t xml:space="preserve">, 2026, dora.dev/capabilities/streamlining-change-approval/. Accessed 11 July 2026.</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ind w:left="360" w:hanging="360"/>
        <w:rPr>
          <w:color w:val="1f1f1f"/>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ind w:left="360" w:hanging="360"/>
        <w:rPr>
          <w:color w:val="1f1f1f"/>
        </w:rPr>
      </w:pPr>
      <w:r w:rsidDel="00000000" w:rsidR="00000000" w:rsidRPr="00000000">
        <w:rPr>
          <w:color w:val="1f1f1f"/>
          <w:rtl w:val="0"/>
        </w:rPr>
        <w:t xml:space="preserve">Kim, Gene, et al. </w:t>
      </w:r>
      <w:r w:rsidDel="00000000" w:rsidR="00000000" w:rsidRPr="00000000">
        <w:rPr>
          <w:i w:val="1"/>
          <w:iCs w:val="1"/>
          <w:color w:val="1f1f1f"/>
          <w:rtl w:val="0"/>
        </w:rPr>
        <w:t xml:space="preserve">The DevOps Handbook: How to Create World-Class Agility, Reliability, &amp; Security in Technology Organizations</w:t>
      </w:r>
      <w:r w:rsidDel="00000000" w:rsidR="00000000" w:rsidRPr="00000000">
        <w:rPr>
          <w:color w:val="1f1f1f"/>
          <w:rtl w:val="0"/>
        </w:rPr>
        <w:t xml:space="preserve">. 2nd ed., IT Revolution Press, 2021.</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ind w:left="360" w:hanging="360"/>
        <w:rPr>
          <w:color w:val="1f1f1f"/>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ind w:left="360" w:hanging="360"/>
        <w:rPr/>
      </w:pPr>
      <w:r w:rsidDel="00000000" w:rsidR="00000000" w:rsidRPr="00000000">
        <w:rPr>
          <w:color w:val="1f1f1f"/>
          <w:rtl w:val="0"/>
        </w:rPr>
        <w:t xml:space="preserve">Rance, Stuart. "Beyond the CAB: A Practical Approach to Modern Change Governance." </w:t>
      </w:r>
      <w:r w:rsidDel="00000000" w:rsidR="00000000" w:rsidRPr="00000000">
        <w:rPr>
          <w:i w:val="1"/>
          <w:iCs w:val="1"/>
          <w:color w:val="1f1f1f"/>
          <w:rtl w:val="0"/>
        </w:rPr>
        <w:t xml:space="preserve">ITSM.tools</w:t>
      </w:r>
      <w:r w:rsidDel="00000000" w:rsidR="00000000" w:rsidRPr="00000000">
        <w:rPr>
          <w:color w:val="1f1f1f"/>
          <w:rtl w:val="0"/>
        </w:rPr>
        <w:t xml:space="preserve">, 2026, itsm.tools/beyond-the-cab/. Accessed 11 July 2026.</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search?q=https%3A%2F%2Fwww.atlassian.com%2Fitsm%2Fchange-management%2Ftypes" TargetMode="External"/><Relationship Id="rId7" Type="http://schemas.openxmlformats.org/officeDocument/2006/relationships/hyperlink" Target="https://www.google.com/search?q=https%3A%2F%2Fwww.atlassian.com%2Fitsm%2Fchange-management%2Ftyp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