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top w:color="auto" w:space="0" w:sz="0" w:val="none"/>
          <w:left w:color="auto" w:space="0" w:sz="0" w:val="none"/>
          <w:bottom w:color="auto" w:space="0" w:sz="0" w:val="none"/>
          <w:right w:color="auto" w:space="0" w:sz="0" w:val="none"/>
          <w:between w:color="auto" w:space="0" w:sz="0" w:val="none"/>
        </w:pBdr>
        <w:spacing w:after="60" w:before="0" w:line="480" w:lineRule="auto"/>
        <w:rPr/>
      </w:pPr>
      <w:r w:rsidDel="00000000" w:rsidR="00000000" w:rsidRPr="00000000">
        <w:rPr>
          <w:rtl w:val="0"/>
        </w:rPr>
        <w:t xml:space="preserve">Abram Denzlinger</w:t>
      </w:r>
    </w:p>
    <w:p w:rsidR="00000000" w:rsidDel="00000000" w:rsidP="00000000" w:rsidRDefault="00000000" w:rsidRPr="00000000" w14:paraId="00000002">
      <w:pPr>
        <w:keepNext w:val="0"/>
        <w:keepLines w:val="0"/>
        <w:pBdr>
          <w:top w:color="auto" w:space="0" w:sz="0" w:val="none"/>
          <w:left w:color="auto" w:space="0" w:sz="0" w:val="none"/>
          <w:bottom w:color="auto" w:space="0" w:sz="0" w:val="none"/>
          <w:right w:color="auto" w:space="0" w:sz="0" w:val="none"/>
          <w:between w:color="auto" w:space="0" w:sz="0" w:val="none"/>
        </w:pBdr>
        <w:spacing w:after="60" w:before="0" w:line="480" w:lineRule="auto"/>
        <w:rPr/>
      </w:pPr>
      <w:r w:rsidDel="00000000" w:rsidR="00000000" w:rsidRPr="00000000">
        <w:rPr>
          <w:rtl w:val="0"/>
        </w:rPr>
        <w:t xml:space="preserve">June 13, 2026</w:t>
      </w:r>
    </w:p>
    <w:p w:rsidR="00000000" w:rsidDel="00000000" w:rsidP="00000000" w:rsidRDefault="00000000" w:rsidRPr="00000000" w14:paraId="00000003">
      <w:pPr>
        <w:keepNext w:val="0"/>
        <w:keepLines w:val="0"/>
        <w:pBdr>
          <w:top w:color="auto" w:space="0" w:sz="0" w:val="none"/>
          <w:left w:color="auto" w:space="0" w:sz="0" w:val="none"/>
          <w:bottom w:color="auto" w:space="0" w:sz="0" w:val="none"/>
          <w:right w:color="auto" w:space="0" w:sz="0" w:val="none"/>
          <w:between w:color="auto" w:space="0" w:sz="0" w:val="none"/>
        </w:pBdr>
        <w:spacing w:after="60" w:before="0" w:line="480" w:lineRule="auto"/>
        <w:rPr>
          <w:b w:val="1"/>
          <w:bCs w:val="1"/>
        </w:rPr>
      </w:pPr>
      <w:r w:rsidDel="00000000" w:rsidR="00000000" w:rsidRPr="00000000">
        <w:rPr>
          <w:rtl w:val="0"/>
        </w:rPr>
        <w:t xml:space="preserve">Assignment 2.2 - Operation InVersion at LinkedIn (2011)</w:t>
      </w:r>
      <w:r w:rsidDel="00000000" w:rsidR="00000000" w:rsidRPr="00000000">
        <w:rPr>
          <w:rtl w:val="0"/>
        </w:rPr>
      </w:r>
    </w:p>
    <w:p w:rsidR="00000000" w:rsidDel="00000000" w:rsidP="00000000" w:rsidRDefault="00000000" w:rsidRPr="00000000" w14:paraId="00000004">
      <w:pPr>
        <w:keepNext w:val="0"/>
        <w:keepLines w:val="0"/>
        <w:pBdr>
          <w:top w:color="auto" w:space="0" w:sz="0" w:val="none"/>
          <w:left w:color="auto" w:space="0" w:sz="0" w:val="none"/>
          <w:bottom w:color="auto" w:space="0" w:sz="0" w:val="none"/>
          <w:right w:color="auto" w:space="0" w:sz="0" w:val="none"/>
          <w:between w:color="auto" w:space="0" w:sz="0" w:val="none"/>
        </w:pBdr>
        <w:spacing w:after="60" w:before="0" w:line="48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480" w:lineRule="auto"/>
        <w:ind w:firstLine="720"/>
        <w:rPr/>
      </w:pPr>
      <w:r w:rsidDel="00000000" w:rsidR="00000000" w:rsidRPr="00000000">
        <w:rPr>
          <w:rtl w:val="0"/>
        </w:rPr>
        <w:t xml:space="preserve">Technical debt must always be paid. The ideal approach is addressing it continuously as part of daily work. The extreme alternative, as illustrated by LinkedIn in the case study by Kim et al., is allowing it to accumulate until development and deployment become entirely unmanageable, forcing a complete feature freeze to stabilize the environment.</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60" w:line="480" w:lineRule="auto"/>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480" w:lineRule="auto"/>
        <w:ind w:firstLine="720"/>
        <w:rPr>
          <w:color w:val="1f1f1f"/>
        </w:rPr>
      </w:pPr>
      <w:r w:rsidDel="00000000" w:rsidR="00000000" w:rsidRPr="00000000">
        <w:rPr>
          <w:color w:val="1f1f1f"/>
          <w:rtl w:val="0"/>
        </w:rPr>
        <w:t xml:space="preserve">In late 2011, just six months after its IPO, LinkedIn faced severe stability and deployment crises. The site frequently crashed under the weight of new features, forcing engineers into grueling, late-night emergency fixing sessions.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line="480" w:lineRule="auto"/>
        <w:ind w:firstLine="720"/>
        <w:rPr>
          <w:color w:val="1f1f1f"/>
        </w:rPr>
      </w:pPr>
      <w:r w:rsidDel="00000000" w:rsidR="00000000" w:rsidRPr="00000000">
        <w:rPr>
          <w:color w:val="1f1f1f"/>
          <w:rtl w:val="0"/>
        </w:rPr>
        <w:t xml:space="preserve">The root cause was nearly a decade of technical debt tied to Leo, their homegrown, monolithic Java application. While LinkedIn's user base was scaling exponentially, Leo had become fragile, incredibly difficult to troubleshoot, and restricted to a rigid two-week deployment cadence.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480" w:lineRule="auto"/>
        <w:ind w:firstLine="720"/>
        <w:rPr>
          <w:color w:val="1f1f1f"/>
        </w:rPr>
      </w:pPr>
      <w:r w:rsidDel="00000000" w:rsidR="00000000" w:rsidRPr="00000000">
        <w:rPr>
          <w:color w:val="1f1f1f"/>
          <w:rtl w:val="0"/>
        </w:rPr>
        <w:t xml:space="preserve">To stop this, Kevin Scott (VP of Engineering) launched Operation InVersion. Despite the intense scrutiny and pressure of being a newly public company, Scott halted all new feature development for two months, dedicating the entire engineering department strictly to overhauling core infrastructure.</w:t>
      </w:r>
      <w:r w:rsidDel="00000000" w:rsidR="00000000" w:rsidRPr="00000000">
        <w:rPr>
          <w:rtl w:val="0"/>
        </w:rPr>
      </w:r>
    </w:p>
    <w:p w:rsidR="00000000" w:rsidDel="00000000" w:rsidP="00000000" w:rsidRDefault="00000000" w:rsidRPr="00000000" w14:paraId="0000000A">
      <w:pPr>
        <w:keepNext w:val="0"/>
        <w:keepLines w:val="0"/>
        <w:pBdr>
          <w:top w:color="auto" w:space="0" w:sz="0" w:val="none"/>
          <w:left w:color="auto" w:space="0" w:sz="0" w:val="none"/>
          <w:bottom w:color="auto" w:space="0" w:sz="0" w:val="none"/>
          <w:right w:color="auto" w:space="0" w:sz="0" w:val="none"/>
          <w:between w:color="auto" w:space="0" w:sz="0" w:val="none"/>
        </w:pBdr>
        <w:spacing w:after="60" w:before="0" w:line="480" w:lineRule="auto"/>
        <w:rPr>
          <w:b w:val="1"/>
          <w:bCs w:val="1"/>
        </w:rPr>
      </w:pPr>
      <w:r w:rsidDel="00000000" w:rsidR="00000000" w:rsidRPr="00000000">
        <w:rPr>
          <w:b w:val="1"/>
          <w:bCs w:val="1"/>
          <w:rtl w:val="0"/>
        </w:rPr>
        <w:t xml:space="preserve">The Results</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480" w:lineRule="auto"/>
        <w:ind w:left="720" w:hanging="360"/>
      </w:pPr>
      <w:r w:rsidDel="00000000" w:rsidR="00000000" w:rsidRPr="00000000">
        <w:rPr>
          <w:color w:val="1f1f1f"/>
          <w:rtl w:val="0"/>
        </w:rPr>
        <w:t xml:space="preserve">Decoupled Architecture: The company successfully executed the strategy to "kill Leo," breaking the monolith down into small, functional, stateless services. This structural shift allowed their ecosystem to grow from 150 services in 2010 to over 750.</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480" w:lineRule="auto"/>
        <w:ind w:left="720" w:hanging="360"/>
      </w:pPr>
      <w:r w:rsidDel="00000000" w:rsidR="00000000" w:rsidRPr="00000000">
        <w:rPr>
          <w:color w:val="1f1f1f"/>
          <w:rtl w:val="0"/>
        </w:rPr>
        <w:t xml:space="preserve">Automated Tooling: They developed an advanced suite of automated tools to scan new code for bugs and compatibility issues prior to deployment.</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480" w:lineRule="auto"/>
        <w:ind w:left="720" w:hanging="360"/>
      </w:pPr>
      <w:r w:rsidDel="00000000" w:rsidR="00000000" w:rsidRPr="00000000">
        <w:rPr>
          <w:color w:val="1f1f1f"/>
          <w:rtl w:val="0"/>
        </w:rPr>
        <w:t xml:space="preserve">Agility &amp; Frequency: Code could now be deployed safely and instantly. LinkedIn moved from bi-weekly deployments to performing major site upgrades three times a day.</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300" w:line="480" w:lineRule="auto"/>
        <w:ind w:left="720" w:hanging="360"/>
      </w:pPr>
      <w:r w:rsidDel="00000000" w:rsidR="00000000" w:rsidRPr="00000000">
        <w:rPr>
          <w:color w:val="1f1f1f"/>
          <w:rtl w:val="0"/>
        </w:rPr>
        <w:t xml:space="preserve">Cultural Shift: Operation InVersion introduced a "cultural manifesto" that eliminated painful, reactive firefighting and drastically improved developer productivity and morale.</w:t>
      </w:r>
      <w:r w:rsidDel="00000000" w:rsidR="00000000" w:rsidRPr="00000000">
        <w:rPr>
          <w:rtl w:val="0"/>
        </w:rPr>
      </w:r>
    </w:p>
    <w:p w:rsidR="00000000" w:rsidDel="00000000" w:rsidP="00000000" w:rsidRDefault="00000000" w:rsidRPr="00000000" w14:paraId="0000000F">
      <w:pPr>
        <w:keepNext w:val="0"/>
        <w:keepLines w:val="0"/>
        <w:pBdr>
          <w:top w:color="auto" w:space="0" w:sz="0" w:val="none"/>
          <w:left w:color="auto" w:space="0" w:sz="0" w:val="none"/>
          <w:bottom w:color="auto" w:space="0" w:sz="0" w:val="none"/>
          <w:right w:color="auto" w:space="0" w:sz="0" w:val="none"/>
          <w:between w:color="auto" w:space="0" w:sz="0" w:val="none"/>
        </w:pBdr>
        <w:spacing w:after="60" w:before="0" w:line="480" w:lineRule="auto"/>
        <w:rPr>
          <w:b w:val="1"/>
          <w:bCs w:val="1"/>
        </w:rPr>
      </w:pPr>
      <w:r w:rsidDel="00000000" w:rsidR="00000000" w:rsidRPr="00000000">
        <w:rPr>
          <w:b w:val="1"/>
          <w:bCs w:val="1"/>
          <w:rtl w:val="0"/>
        </w:rPr>
        <w:t xml:space="preserve">Lessons Learned</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line="480" w:lineRule="auto"/>
        <w:ind w:left="720" w:hanging="360"/>
      </w:pPr>
      <w:r w:rsidDel="00000000" w:rsidR="00000000" w:rsidRPr="00000000">
        <w:rPr>
          <w:color w:val="1f1f1f"/>
          <w:rtl w:val="0"/>
        </w:rPr>
        <w:t xml:space="preserve">Pay the "20% Tax" Early: Organizations should ideally dedicate at least 20% of engineering capacity to refactoring, automation, and non-functional requirements (NFRs). Neglecting this creates a fragility that eventually grinds feature delivery to a halt.</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line="480" w:lineRule="auto"/>
        <w:ind w:left="720" w:hanging="360"/>
      </w:pPr>
      <w:r w:rsidDel="00000000" w:rsidR="00000000" w:rsidRPr="00000000">
        <w:rPr>
          <w:color w:val="1f1f1f"/>
          <w:rtl w:val="0"/>
        </w:rPr>
        <w:t xml:space="preserve">Stop the Line When Necessary: When technical debt is catastrophic, incremental patches fail. It requires radical organizational focus to safely reset the foundation. Sometimes this means stopping all other development.</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line="480" w:lineRule="auto"/>
        <w:ind w:left="720" w:hanging="360"/>
      </w:pPr>
      <w:r w:rsidDel="00000000" w:rsidR="00000000" w:rsidRPr="00000000">
        <w:rPr>
          <w:color w:val="1f1f1f"/>
          <w:rtl w:val="0"/>
        </w:rPr>
        <w:t xml:space="preserve">Adopt a CEO Perspective: Engineering leaders must align infrastructure projects with what the business and competitive marketplace actually require for long-term survival, even if it means delaying short-term, market-facing features.</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300" w:line="480" w:lineRule="auto"/>
        <w:ind w:left="720" w:hanging="360"/>
      </w:pPr>
      <w:r w:rsidDel="00000000" w:rsidR="00000000" w:rsidRPr="00000000">
        <w:rPr>
          <w:color w:val="1f1f1f"/>
          <w:rtl w:val="0"/>
        </w:rPr>
        <w:t xml:space="preserve">System Safety Reduces Burnout: Upgrading infrastructure and developer tooling provides teams with the psychological and technical safety needed to innovate faster and avoid burnout.</w:t>
      </w:r>
      <w:r w:rsidDel="00000000" w:rsidR="00000000" w:rsidRPr="00000000">
        <w:rPr>
          <w:rtl w:val="0"/>
        </w:rPr>
      </w:r>
    </w:p>
    <w:p w:rsidR="00000000" w:rsidDel="00000000" w:rsidP="00000000" w:rsidRDefault="00000000" w:rsidRPr="00000000" w14:paraId="00000014">
      <w:pPr>
        <w:spacing w:line="480" w:lineRule="auto"/>
        <w:ind w:left="720" w:hanging="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line="480" w:lineRule="auto"/>
        <w:ind w:left="720" w:hanging="720"/>
        <w:jc w:val="center"/>
        <w:rPr>
          <w:b w:val="1"/>
          <w:bCs w:val="1"/>
        </w:rPr>
      </w:pPr>
      <w:r w:rsidDel="00000000" w:rsidR="00000000" w:rsidRPr="00000000">
        <w:rPr>
          <w:b w:val="1"/>
          <w:bCs w:val="1"/>
          <w:rtl w:val="0"/>
        </w:rPr>
        <w:t xml:space="preserve">Works Cited</w:t>
      </w:r>
    </w:p>
    <w:p w:rsidR="00000000" w:rsidDel="00000000" w:rsidP="00000000" w:rsidRDefault="00000000" w:rsidRPr="00000000" w14:paraId="00000016">
      <w:pPr>
        <w:spacing w:line="480" w:lineRule="auto"/>
        <w:ind w:left="720" w:hanging="720"/>
        <w:rPr/>
      </w:pPr>
      <w:r w:rsidDel="00000000" w:rsidR="00000000" w:rsidRPr="00000000">
        <w:rPr>
          <w:rtl w:val="0"/>
        </w:rPr>
        <w:t xml:space="preserve">Kim, Gene, et al. </w:t>
      </w:r>
      <w:r w:rsidDel="00000000" w:rsidR="00000000" w:rsidRPr="00000000">
        <w:rPr>
          <w:i w:val="1"/>
          <w:iCs w:val="1"/>
          <w:rtl w:val="0"/>
        </w:rPr>
        <w:t xml:space="preserve">The DevOps Handbook: How to Create World-Class Agility, Reliability, and Security in Technology Organizations</w:t>
      </w:r>
      <w:r w:rsidDel="00000000" w:rsidR="00000000" w:rsidRPr="00000000">
        <w:rPr>
          <w:rtl w:val="0"/>
        </w:rPr>
        <w:t xml:space="preserve">. IT Revolution Press, 2016. </w:t>
      </w:r>
      <w:r w:rsidDel="00000000" w:rsidR="00000000" w:rsidRPr="00000000">
        <w:rPr>
          <w:i w:val="1"/>
          <w:iCs w:val="1"/>
          <w:rtl w:val="0"/>
        </w:rPr>
        <w:t xml:space="preserve">KorText</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https://read.na1.kortext.com/reader/epub/5184?hash=fd143ee0</w:t>
        </w:r>
      </w:hyperlink>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ad.na1.kortext.com/reader/epub/5184?hash=fd143ee0" TargetMode="External"/><Relationship Id="rId7" Type="http://schemas.openxmlformats.org/officeDocument/2006/relationships/hyperlink" Target="https://read.na1.kortext.com/reader/epub/5184?hash=fd143e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