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rPr>
          <w:color w:val="1f1f1f"/>
        </w:rPr>
      </w:pPr>
      <w:r w:rsidDel="00000000" w:rsidR="00000000" w:rsidRPr="00000000">
        <w:rPr>
          <w:color w:val="1f1f1f"/>
          <w:rtl w:val="0"/>
        </w:rPr>
        <w:t xml:space="preserve">Abram Denzlinger</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rPr>
          <w:color w:val="1f1f1f"/>
        </w:rPr>
      </w:pPr>
      <w:r w:rsidDel="00000000" w:rsidR="00000000" w:rsidRPr="00000000">
        <w:rPr>
          <w:color w:val="1f1f1f"/>
          <w:rtl w:val="0"/>
        </w:rPr>
        <w:t xml:space="preserve">April 4, 2026</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rPr>
          <w:color w:val="1f1f1f"/>
        </w:rPr>
      </w:pPr>
      <w:r w:rsidDel="00000000" w:rsidR="00000000" w:rsidRPr="00000000">
        <w:rPr>
          <w:color w:val="1f1f1f"/>
          <w:rtl w:val="0"/>
        </w:rPr>
        <w:t xml:space="preserve">Assignment 2.2 - GDPR</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color w:val="1f1f1f"/>
        </w:rPr>
      </w:pPr>
      <w:r w:rsidDel="00000000" w:rsidR="00000000" w:rsidRPr="00000000">
        <w:rPr>
          <w:color w:val="1f1f1f"/>
          <w:rtl w:val="0"/>
        </w:rPr>
        <w:t xml:space="preserve">The General Data Protection Regulation (GDPR) is a landmark privacy framework in the EU that fundamentally changed how organizations handle personal information. At its core, GDPR shifts the power dynamic from the corporation to the individual. It operates on the philosophy that users do not surrender ownership of their data when they share it; rather, companies are "borrowing" that data for a specific, transparent purpose.</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color w:val="1f1f1f"/>
        </w:rPr>
      </w:pPr>
      <w:r w:rsidDel="00000000" w:rsidR="00000000" w:rsidRPr="00000000">
        <w:rPr>
          <w:color w:val="1f1f1f"/>
          <w:rtl w:val="0"/>
        </w:rPr>
        <w:t xml:space="preserve">Being headquartered in the United States does not exempt from these regulations. The law has "extraterritorial reach,” meaning that because MeCo is expanding into the UK and processing the data of individuals within that jurisdiction, they are legally bound by its requirements regardless of their physical location in the US (IAPP, 2024).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color w:val="1f1f1f"/>
        </w:rPr>
      </w:pPr>
      <w:r w:rsidDel="00000000" w:rsidR="00000000" w:rsidRPr="00000000">
        <w:rPr>
          <w:color w:val="1f1f1f"/>
          <w:rtl w:val="0"/>
        </w:rPr>
        <w:t xml:space="preserve">Before 2018, data protection in Europe was governed by the 1995 Data Protection Directive (95/46/EC). This law was kind of a "patchwork.” Each country interpreted it differently, which created challenges for IT operations and legal teams trying to navigate different sets of rules. It was also written before the era of social media, cloud computing, and big data. In May 2018, the EU moved to a Regulation. Unlike a directive, a regulation is a single, unified law that applies exactly the same way across all member states. This shift was driven by massive data breaches and the realization that personal data had become a valuable (and vulnerable) commodity. To ensure companies took this seriously, the GDPR was given "teeth": fines can reach up to €20 million or 4% of a company’s annual global turnover, whichever is higher (GDPR-Info.eu, Art. 83).</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color w:val="1f1f1f"/>
        </w:rPr>
      </w:pPr>
      <w:r w:rsidDel="00000000" w:rsidR="00000000" w:rsidRPr="00000000">
        <w:rPr>
          <w:color w:val="1f1f1f"/>
          <w:rtl w:val="0"/>
        </w:rPr>
        <w:t xml:space="preserve">According to Article 5 of the GDPR, all data processing must adhere to seven fundamental principles. As MeCo builds out their UK and Brazil infrastructures, these should guide every decision Paula’s team makes:</w:t>
      </w:r>
    </w:p>
    <w:p w:rsidR="00000000" w:rsidDel="00000000" w:rsidP="00000000" w:rsidRDefault="00000000" w:rsidRPr="00000000" w14:paraId="00000008">
      <w:pPr>
        <w:widowControl w:val="0"/>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b w:val="1"/>
          <w:bCs w:val="1"/>
          <w:color w:val="1f1f1f"/>
          <w:rtl w:val="0"/>
        </w:rPr>
        <w:t xml:space="preserve">Lawfulness, Fairness, and Transparency:</w:t>
      </w:r>
      <w:r w:rsidDel="00000000" w:rsidR="00000000" w:rsidRPr="00000000">
        <w:rPr>
          <w:color w:val="1f1f1f"/>
          <w:rtl w:val="0"/>
        </w:rPr>
        <w:t xml:space="preserve"> They must have a legal reason to have the data, and they must be honest with the user about what they are doing with it.</w:t>
      </w:r>
    </w:p>
    <w:p w:rsidR="00000000" w:rsidDel="00000000" w:rsidP="00000000" w:rsidRDefault="00000000" w:rsidRPr="00000000" w14:paraId="00000009">
      <w:pPr>
        <w:widowControl w:val="0"/>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b w:val="1"/>
          <w:bCs w:val="1"/>
          <w:color w:val="1f1f1f"/>
          <w:rtl w:val="0"/>
        </w:rPr>
        <w:t xml:space="preserve">Purpose Limitation:</w:t>
      </w:r>
      <w:r w:rsidDel="00000000" w:rsidR="00000000" w:rsidRPr="00000000">
        <w:rPr>
          <w:color w:val="1f1f1f"/>
          <w:rtl w:val="0"/>
        </w:rPr>
        <w:t xml:space="preserve"> If they collect an email for a shipping notification, they cannot suddenly use it for a third-party marketing blast without new consent.</w:t>
      </w:r>
    </w:p>
    <w:p w:rsidR="00000000" w:rsidDel="00000000" w:rsidP="00000000" w:rsidRDefault="00000000" w:rsidRPr="00000000" w14:paraId="0000000A">
      <w:pPr>
        <w:widowControl w:val="0"/>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b w:val="1"/>
          <w:bCs w:val="1"/>
          <w:color w:val="1f1f1f"/>
          <w:rtl w:val="0"/>
        </w:rPr>
        <w:t xml:space="preserve">Data Minimization:</w:t>
      </w:r>
      <w:r w:rsidDel="00000000" w:rsidR="00000000" w:rsidRPr="00000000">
        <w:rPr>
          <w:color w:val="1f1f1f"/>
          <w:rtl w:val="0"/>
        </w:rPr>
        <w:t xml:space="preserve"> They should only collect the "minimum viable data" needed to complete a task.</w:t>
      </w:r>
    </w:p>
    <w:p w:rsidR="00000000" w:rsidDel="00000000" w:rsidP="00000000" w:rsidRDefault="00000000" w:rsidRPr="00000000" w14:paraId="0000000B">
      <w:pPr>
        <w:widowControl w:val="0"/>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b w:val="1"/>
          <w:bCs w:val="1"/>
          <w:color w:val="1f1f1f"/>
          <w:rtl w:val="0"/>
        </w:rPr>
        <w:t xml:space="preserve">Accuracy:</w:t>
      </w:r>
      <w:r w:rsidDel="00000000" w:rsidR="00000000" w:rsidRPr="00000000">
        <w:rPr>
          <w:color w:val="1f1f1f"/>
          <w:rtl w:val="0"/>
        </w:rPr>
        <w:t xml:space="preserve"> They must take reasonable steps to ensure data isn't outdated or incorrect.</w:t>
      </w:r>
    </w:p>
    <w:p w:rsidR="00000000" w:rsidDel="00000000" w:rsidP="00000000" w:rsidRDefault="00000000" w:rsidRPr="00000000" w14:paraId="0000000C">
      <w:pPr>
        <w:widowControl w:val="0"/>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b w:val="1"/>
          <w:bCs w:val="1"/>
          <w:color w:val="1f1f1f"/>
          <w:rtl w:val="0"/>
        </w:rPr>
        <w:t xml:space="preserve">Storage Limitation:</w:t>
      </w:r>
      <w:r w:rsidDel="00000000" w:rsidR="00000000" w:rsidRPr="00000000">
        <w:rPr>
          <w:color w:val="1f1f1f"/>
          <w:rtl w:val="0"/>
        </w:rPr>
        <w:t xml:space="preserve"> They cannot keep data "just in case" forever. If the purpose is served, the data must be deleted.</w:t>
      </w:r>
    </w:p>
    <w:p w:rsidR="00000000" w:rsidDel="00000000" w:rsidP="00000000" w:rsidRDefault="00000000" w:rsidRPr="00000000" w14:paraId="0000000D">
      <w:pPr>
        <w:widowControl w:val="0"/>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b w:val="1"/>
          <w:bCs w:val="1"/>
          <w:color w:val="1f1f1f"/>
          <w:rtl w:val="0"/>
        </w:rPr>
        <w:t xml:space="preserve">Integrity and Confidentiality:</w:t>
      </w:r>
      <w:r w:rsidDel="00000000" w:rsidR="00000000" w:rsidRPr="00000000">
        <w:rPr>
          <w:color w:val="1f1f1f"/>
          <w:rtl w:val="0"/>
        </w:rPr>
        <w:t xml:space="preserve"> They must use encryption and access controls to protect against unauthorized processing or accidental loss.</w:t>
      </w:r>
    </w:p>
    <w:p w:rsidR="00000000" w:rsidDel="00000000" w:rsidP="00000000" w:rsidRDefault="00000000" w:rsidRPr="00000000" w14:paraId="0000000E">
      <w:pPr>
        <w:widowControl w:val="0"/>
        <w:numPr>
          <w:ilvl w:val="0"/>
          <w:numId w:val="2"/>
        </w:numPr>
        <w:pBdr>
          <w:top w:color="auto" w:space="0" w:sz="0" w:val="none"/>
          <w:bottom w:color="auto" w:space="0" w:sz="0" w:val="none"/>
          <w:right w:color="auto" w:space="0" w:sz="0" w:val="none"/>
          <w:between w:color="auto" w:space="0" w:sz="0" w:val="none"/>
        </w:pBdr>
        <w:spacing w:after="360" w:line="480" w:lineRule="auto"/>
        <w:ind w:left="720" w:hanging="360"/>
        <w:rPr>
          <w:color w:val="1f1f1f"/>
        </w:rPr>
      </w:pPr>
      <w:r w:rsidDel="00000000" w:rsidR="00000000" w:rsidRPr="00000000">
        <w:rPr>
          <w:b w:val="1"/>
          <w:bCs w:val="1"/>
          <w:color w:val="1f1f1f"/>
          <w:rtl w:val="0"/>
        </w:rPr>
        <w:t xml:space="preserve">Accountability:</w:t>
      </w:r>
      <w:r w:rsidDel="00000000" w:rsidR="00000000" w:rsidRPr="00000000">
        <w:rPr>
          <w:color w:val="1f1f1f"/>
          <w:rtl w:val="0"/>
        </w:rPr>
        <w:t xml:space="preserve"> It isn't enough to </w:t>
      </w:r>
      <w:r w:rsidDel="00000000" w:rsidR="00000000" w:rsidRPr="00000000">
        <w:rPr>
          <w:i w:val="1"/>
          <w:iCs w:val="1"/>
          <w:color w:val="1f1f1f"/>
          <w:rtl w:val="0"/>
        </w:rPr>
        <w:t xml:space="preserve">be</w:t>
      </w:r>
      <w:r w:rsidDel="00000000" w:rsidR="00000000" w:rsidRPr="00000000">
        <w:rPr>
          <w:color w:val="1f1f1f"/>
          <w:rtl w:val="0"/>
        </w:rPr>
        <w:t xml:space="preserve"> compliant; they must be able to </w:t>
      </w:r>
      <w:r w:rsidDel="00000000" w:rsidR="00000000" w:rsidRPr="00000000">
        <w:rPr>
          <w:i w:val="1"/>
          <w:iCs w:val="1"/>
          <w:color w:val="1f1f1f"/>
          <w:rtl w:val="0"/>
        </w:rPr>
        <w:t xml:space="preserve">prove</w:t>
      </w:r>
      <w:r w:rsidDel="00000000" w:rsidR="00000000" w:rsidRPr="00000000">
        <w:rPr>
          <w:color w:val="1f1f1f"/>
          <w:rtl w:val="0"/>
        </w:rPr>
        <w:t xml:space="preserve"> it through documentation and audits.</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color w:val="1f1f1f"/>
        </w:rPr>
      </w:pPr>
      <w:r w:rsidDel="00000000" w:rsidR="00000000" w:rsidRPr="00000000">
        <w:rPr>
          <w:color w:val="1f1f1f"/>
          <w:rtl w:val="0"/>
        </w:rPr>
        <w:t xml:space="preserve">Based on the UK Information Commissioner’s Office (ICO) standards, here are some guidelines for MeCo’s expansion:</w:t>
      </w:r>
    </w:p>
    <w:p w:rsidR="00000000" w:rsidDel="00000000" w:rsidP="00000000" w:rsidRDefault="00000000" w:rsidRPr="00000000" w14:paraId="00000010">
      <w:pPr>
        <w:widowControl w:val="0"/>
        <w:numPr>
          <w:ilvl w:val="0"/>
          <w:numId w:val="1"/>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color w:val="1f1f1f"/>
          <w:rtl w:val="0"/>
        </w:rPr>
        <w:t xml:space="preserve">Conduct an inventory of all personal data MeCo handles and map it. Where does it come from? Where is it stored? Who can see it?</w:t>
      </w:r>
    </w:p>
    <w:p w:rsidR="00000000" w:rsidDel="00000000" w:rsidP="00000000" w:rsidRDefault="00000000" w:rsidRPr="00000000" w14:paraId="00000011">
      <w:pPr>
        <w:widowControl w:val="0"/>
        <w:numPr>
          <w:ilvl w:val="0"/>
          <w:numId w:val="1"/>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color w:val="1f1f1f"/>
          <w:rtl w:val="0"/>
        </w:rPr>
        <w:t xml:space="preserve">Document which of the six legal bases (Consent, Contract, Legal Obligation, Vital Interests, Public Task, or Legitimate Interests) justifies the data use.</w:t>
      </w:r>
    </w:p>
    <w:p w:rsidR="00000000" w:rsidDel="00000000" w:rsidP="00000000" w:rsidRDefault="00000000" w:rsidRPr="00000000" w14:paraId="00000012">
      <w:pPr>
        <w:widowControl w:val="0"/>
        <w:numPr>
          <w:ilvl w:val="0"/>
          <w:numId w:val="1"/>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color w:val="1f1f1f"/>
          <w:rtl w:val="0"/>
        </w:rPr>
        <w:t xml:space="preserve">Update website and contracts with explanations of data practices in "clear and plain language."</w:t>
      </w:r>
    </w:p>
    <w:p w:rsidR="00000000" w:rsidDel="00000000" w:rsidP="00000000" w:rsidRDefault="00000000" w:rsidRPr="00000000" w14:paraId="00000013">
      <w:pPr>
        <w:widowControl w:val="0"/>
        <w:numPr>
          <w:ilvl w:val="0"/>
          <w:numId w:val="1"/>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color w:val="1f1f1f"/>
          <w:rtl w:val="0"/>
        </w:rPr>
        <w:t xml:space="preserve">Establish a formal workflow for users to access, port, or delete their data (Data Subject Access Requests, or DSARs). </w:t>
      </w:r>
    </w:p>
    <w:p w:rsidR="00000000" w:rsidDel="00000000" w:rsidP="00000000" w:rsidRDefault="00000000" w:rsidRPr="00000000" w14:paraId="00000014">
      <w:pPr>
        <w:widowControl w:val="0"/>
        <w:numPr>
          <w:ilvl w:val="0"/>
          <w:numId w:val="1"/>
        </w:numPr>
        <w:pBdr>
          <w:top w:color="auto" w:space="0" w:sz="0" w:val="none"/>
          <w:bottom w:color="auto" w:space="0" w:sz="0" w:val="none"/>
          <w:right w:color="auto" w:space="0" w:sz="0" w:val="none"/>
          <w:between w:color="auto" w:space="0" w:sz="0" w:val="none"/>
        </w:pBdr>
        <w:spacing w:after="0" w:afterAutospacing="0" w:line="480" w:lineRule="auto"/>
        <w:ind w:left="720" w:hanging="360"/>
        <w:rPr>
          <w:color w:val="1f1f1f"/>
        </w:rPr>
      </w:pPr>
      <w:r w:rsidDel="00000000" w:rsidR="00000000" w:rsidRPr="00000000">
        <w:rPr>
          <w:color w:val="1f1f1f"/>
          <w:rtl w:val="0"/>
        </w:rPr>
        <w:t xml:space="preserve">Align software development lifecycle privacy practices with the GDPR. For any high-risk project, perform a formal Data Protection Impact Assessment (DPIA).</w:t>
      </w:r>
    </w:p>
    <w:p w:rsidR="00000000" w:rsidDel="00000000" w:rsidP="00000000" w:rsidRDefault="00000000" w:rsidRPr="00000000" w14:paraId="00000015">
      <w:pPr>
        <w:widowControl w:val="0"/>
        <w:numPr>
          <w:ilvl w:val="0"/>
          <w:numId w:val="1"/>
        </w:numPr>
        <w:pBdr>
          <w:top w:color="auto" w:space="0" w:sz="0" w:val="none"/>
          <w:bottom w:color="auto" w:space="0" w:sz="0" w:val="none"/>
          <w:right w:color="auto" w:space="0" w:sz="0" w:val="none"/>
          <w:between w:color="auto" w:space="0" w:sz="0" w:val="none"/>
        </w:pBdr>
        <w:spacing w:after="360" w:line="480" w:lineRule="auto"/>
        <w:ind w:left="720" w:hanging="360"/>
        <w:rPr>
          <w:color w:val="1f1f1f"/>
        </w:rPr>
      </w:pPr>
      <w:r w:rsidDel="00000000" w:rsidR="00000000" w:rsidRPr="00000000">
        <w:rPr>
          <w:color w:val="1f1f1f"/>
          <w:rtl w:val="0"/>
        </w:rPr>
        <w:t xml:space="preserve">Appoint a Data Protection Officer to oversee compliance.</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color w:val="1f1f1f"/>
        </w:rPr>
      </w:pPr>
      <w:r w:rsidDel="00000000" w:rsidR="00000000" w:rsidRPr="00000000">
        <w:rPr>
          <w:color w:val="1f1f1f"/>
          <w:rtl w:val="0"/>
        </w:rPr>
        <w:t xml:space="preserve">As MeCo moves into Brazil, they will encounter the LGPD (Lei Geral de Proteção de Dados).</w:t>
      </w:r>
      <w:r w:rsidDel="00000000" w:rsidR="00000000" w:rsidRPr="00000000">
        <w:rPr>
          <w:b w:val="1"/>
          <w:bCs w:val="1"/>
          <w:color w:val="1f1f1f"/>
          <w:rtl w:val="0"/>
        </w:rPr>
        <w:t xml:space="preserve"> </w:t>
      </w:r>
      <w:r w:rsidDel="00000000" w:rsidR="00000000" w:rsidRPr="00000000">
        <w:rPr>
          <w:color w:val="1f1f1f"/>
          <w:rtl w:val="0"/>
        </w:rPr>
        <w:t xml:space="preserve">The good news is that the LGPD is heavily modeled after the GDPR. In fact, as of January 2026, the EU and Brazil have entered into a Mutual Adequacy Decision. This means that the EU (and UK) recognizes Brazil’s laws as essentially equivalent to their own, which will significantly simplify how MeCo transfers data between their UK and Brazil offices (ANPD, 2026).</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color w:val="1f1f1f"/>
        </w:rPr>
      </w:pPr>
      <w:r w:rsidDel="00000000" w:rsidR="00000000" w:rsidRPr="00000000">
        <w:rPr>
          <w:color w:val="1f1f1f"/>
          <w:rtl w:val="0"/>
        </w:rPr>
        <w:t xml:space="preserve">GDPR is a new legal hurdle for MeCo, requiring a higher operational standard. Following the ICO’s roadmap and embedding these principles into MeCo’s culture will help avoid fines and build trust with new international customers.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center"/>
        <w:rPr>
          <w:color w:val="1f1f1f"/>
        </w:rPr>
      </w:pPr>
      <w:r w:rsidDel="00000000" w:rsidR="00000000" w:rsidRPr="00000000">
        <w:rPr>
          <w:color w:val="1f1f1f"/>
          <w:rtl w:val="0"/>
        </w:rPr>
        <w:t xml:space="preserve">Reference List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480" w:lineRule="auto"/>
        <w:ind w:left="720" w:hanging="630"/>
        <w:rPr>
          <w:b w:val="1"/>
          <w:bCs w:val="1"/>
          <w:color w:val="1f1f1f"/>
        </w:rPr>
      </w:pPr>
      <w:r w:rsidDel="00000000" w:rsidR="00000000" w:rsidRPr="00000000">
        <w:rPr>
          <w:color w:val="1f1f1f"/>
          <w:rtl w:val="0"/>
        </w:rPr>
        <w:t xml:space="preserve">ANPD (2026). Resolution CD/ANPD No. 32: Recognition of the European Union as providing an adequate level of personal data protection. </w:t>
      </w:r>
      <w:hyperlink r:id="rId6">
        <w:r w:rsidDel="00000000" w:rsidR="00000000" w:rsidRPr="00000000">
          <w:rPr>
            <w:color w:val="0b57d0"/>
            <w:u w:val="single"/>
            <w:rtl w:val="0"/>
          </w:rPr>
          <w:t xml:space="preserve">gov.br/anpd/resolucao-32-adequacy-decision-en.pdf</w:t>
        </w:r>
      </w:hyperlink>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480" w:lineRule="auto"/>
        <w:rPr>
          <w:b w:val="1"/>
          <w:bCs w:val="1"/>
          <w:color w:val="1f1f1f"/>
        </w:rPr>
      </w:pPr>
      <w:r w:rsidDel="00000000" w:rsidR="00000000" w:rsidRPr="00000000">
        <w:rPr>
          <w:color w:val="1f1f1f"/>
          <w:rtl w:val="0"/>
        </w:rPr>
        <w:t xml:space="preserve">GDPR-Info.eu. General Data Protection Regulation (EU) 2016/679. </w:t>
      </w:r>
      <w:hyperlink r:id="rId7">
        <w:r w:rsidDel="00000000" w:rsidR="00000000" w:rsidRPr="00000000">
          <w:rPr>
            <w:color w:val="1155cc"/>
            <w:u w:val="single"/>
            <w:rtl w:val="0"/>
          </w:rPr>
          <w:t xml:space="preserve">https://gdpr-info.eu/</w:t>
        </w:r>
      </w:hyperlink>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480" w:lineRule="auto"/>
        <w:ind w:left="720"/>
        <w:rPr>
          <w:color w:val="1f1f1f"/>
        </w:rPr>
      </w:pPr>
      <w:r w:rsidDel="00000000" w:rsidR="00000000" w:rsidRPr="00000000">
        <w:rPr>
          <w:color w:val="1f1f1f"/>
          <w:rtl w:val="0"/>
        </w:rPr>
        <w:t xml:space="preserve">GOV.UK (2025). Data (Use and Access) Act 2025: Data protection and privacy changes. </w:t>
      </w:r>
      <w:hyperlink r:id="rId8">
        <w:r w:rsidDel="00000000" w:rsidR="00000000" w:rsidRPr="00000000">
          <w:rPr>
            <w:color w:val="0b57d0"/>
            <w:u w:val="single"/>
            <w:rtl w:val="0"/>
          </w:rPr>
          <w:t xml:space="preserve">gov.uk/guidance/data-use-and-access-act-2025</w:t>
        </w:r>
      </w:hyperlink>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480" w:lineRule="auto"/>
        <w:ind w:left="720"/>
        <w:rPr>
          <w:b w:val="1"/>
          <w:bCs w:val="1"/>
          <w:color w:val="1f1f1f"/>
        </w:rPr>
      </w:pPr>
      <w:r w:rsidDel="00000000" w:rsidR="00000000" w:rsidRPr="00000000">
        <w:rPr>
          <w:color w:val="1f1f1f"/>
          <w:rtl w:val="0"/>
        </w:rPr>
        <w:t xml:space="preserve">IAPP (2024). The Extraterritorial Reach of the GDPR: A Guide for Non-EU Organizations. </w:t>
      </w:r>
      <w:hyperlink r:id="rId9">
        <w:r w:rsidDel="00000000" w:rsidR="00000000" w:rsidRPr="00000000">
          <w:rPr>
            <w:color w:val="0b57d0"/>
            <w:u w:val="single"/>
            <w:rtl w:val="0"/>
          </w:rPr>
          <w:t xml:space="preserve">iapp.org/resources/article/territorial-scope-of-the-gdpr/</w:t>
        </w:r>
      </w:hyperlink>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480" w:lineRule="auto"/>
        <w:ind w:left="720"/>
        <w:rPr/>
      </w:pPr>
      <w:r w:rsidDel="00000000" w:rsidR="00000000" w:rsidRPr="00000000">
        <w:rPr>
          <w:color w:val="1f1f1f"/>
          <w:rtl w:val="0"/>
        </w:rPr>
        <w:t xml:space="preserve">UK Information Commissioner’s Office (ICO). Guide to the UK GDPR: Compliance Checklists. </w:t>
      </w:r>
      <w:hyperlink r:id="rId10">
        <w:r w:rsidDel="00000000" w:rsidR="00000000" w:rsidRPr="00000000">
          <w:rPr>
            <w:color w:val="0b57d0"/>
            <w:u w:val="single"/>
            <w:rtl w:val="0"/>
          </w:rPr>
          <w:t xml:space="preserve">ico.org.uk/for-organisations/uk-gdpr-guidance-and-resources/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co.org.uk/for-organisations/uk-gdpr-guidance-and-resources/" TargetMode="External"/><Relationship Id="rId9" Type="http://schemas.openxmlformats.org/officeDocument/2006/relationships/hyperlink" Target="https://www.google.com/search?q=https://iapp.org/news/a/a-look-at-the-extraterritorial-applicability-of-the-gdpr/" TargetMode="External"/><Relationship Id="rId5" Type="http://schemas.openxmlformats.org/officeDocument/2006/relationships/styles" Target="styles.xml"/><Relationship Id="rId6" Type="http://schemas.openxmlformats.org/officeDocument/2006/relationships/hyperlink" Target="https://www.gov.br/anpd/pt-br/centrais-de-conteudo/outros-documentos-e-publicacoes-institucionais/resolucao-no-32-decisao-de-adequacao-uniao-europeia-em-lingua-inglesa.pdf" TargetMode="External"/><Relationship Id="rId7" Type="http://schemas.openxmlformats.org/officeDocument/2006/relationships/hyperlink" Target="https://gdpr-info.eu/" TargetMode="External"/><Relationship Id="rId8" Type="http://schemas.openxmlformats.org/officeDocument/2006/relationships/hyperlink" Target="https://www.gov.uk/guidance/data-use-and-access-act-2025-data-protection-and-privacy-ch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