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pPr>
      <w:r w:rsidDel="00000000" w:rsidR="00000000" w:rsidRPr="00000000">
        <w:rPr>
          <w:rtl w:val="0"/>
        </w:rPr>
        <w:t xml:space="preserve">Abram Denzlinger</w:t>
      </w:r>
    </w:p>
    <w:p w:rsidR="00000000" w:rsidDel="00000000" w:rsidP="00000000" w:rsidRDefault="00000000" w:rsidRPr="00000000" w14:paraId="00000002">
      <w:pPr>
        <w:keepNext w:val="0"/>
        <w:keepLines w:val="0"/>
        <w:spacing w:before="280" w:lineRule="auto"/>
        <w:rPr/>
      </w:pPr>
      <w:r w:rsidDel="00000000" w:rsidR="00000000" w:rsidRPr="00000000">
        <w:rPr>
          <w:rtl w:val="0"/>
        </w:rPr>
        <w:t xml:space="preserve">March 15, 2026</w:t>
      </w:r>
    </w:p>
    <w:p w:rsidR="00000000" w:rsidDel="00000000" w:rsidP="00000000" w:rsidRDefault="00000000" w:rsidRPr="00000000" w14:paraId="00000003">
      <w:pPr>
        <w:keepNext w:val="0"/>
        <w:keepLines w:val="0"/>
        <w:spacing w:before="280" w:lineRule="auto"/>
        <w:rPr/>
      </w:pPr>
      <w:r w:rsidDel="00000000" w:rsidR="00000000" w:rsidRPr="00000000">
        <w:rPr>
          <w:rtl w:val="0"/>
        </w:rPr>
        <w:t xml:space="preserve">Assignment 11.2 - JavaFX Paper</w:t>
      </w:r>
    </w:p>
    <w:p w:rsidR="00000000" w:rsidDel="00000000" w:rsidP="00000000" w:rsidRDefault="00000000" w:rsidRPr="00000000" w14:paraId="00000004">
      <w:pPr>
        <w:keepNext w:val="0"/>
        <w:keepLines w:val="0"/>
        <w:spacing w:before="280" w:lineRule="auto"/>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qiktzevby3i" w:id="0"/>
      <w:bookmarkEnd w:id="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In JavaFX, a </w:t>
      </w:r>
      <w:r w:rsidDel="00000000" w:rsidR="00000000" w:rsidRPr="00000000">
        <w:rPr>
          <w:rtl w:val="0"/>
        </w:rPr>
        <w:t xml:space="preserve">Node</w:t>
      </w:r>
      <w:r w:rsidDel="00000000" w:rsidR="00000000" w:rsidRPr="00000000">
        <w:rPr>
          <w:rtl w:val="0"/>
        </w:rPr>
        <w:t xml:space="preserve"> is a primary visual element in the scene graph, that includes components like UI controls, shapes, or image views (Oracle, 2014a). While nodes can be instantiated individually, they require a container to manage and organize them. The </w:t>
      </w:r>
      <w:r w:rsidDel="00000000" w:rsidR="00000000" w:rsidRPr="00000000">
        <w:rPr>
          <w:rtl w:val="0"/>
        </w:rPr>
        <w:t xml:space="preserve">Pane</w:t>
      </w:r>
      <w:r w:rsidDel="00000000" w:rsidR="00000000" w:rsidRPr="00000000">
        <w:rPr>
          <w:rtl w:val="0"/>
        </w:rPr>
        <w:t xml:space="preserve"> class serves as this container; it acts as a base class for layout managers and exposes its child list publicly for dynamic manipulation (Oracle, 2014b).</w:t>
      </w:r>
    </w:p>
    <w:p w:rsidR="00000000" w:rsidDel="00000000" w:rsidP="00000000" w:rsidRDefault="00000000" w:rsidRPr="00000000" w14:paraId="00000007">
      <w:pPr>
        <w:spacing w:after="240" w:before="240" w:lineRule="auto"/>
        <w:rPr/>
      </w:pPr>
      <w:r w:rsidDel="00000000" w:rsidR="00000000" w:rsidRPr="00000000">
        <w:rPr>
          <w:rtl w:val="0"/>
        </w:rPr>
        <w:t xml:space="preserve">Although </w:t>
      </w:r>
      <w:r w:rsidDel="00000000" w:rsidR="00000000" w:rsidRPr="00000000">
        <w:rPr>
          <w:rtl w:val="0"/>
        </w:rPr>
        <w:t xml:space="preserve">Pane</w:t>
      </w:r>
      <w:r w:rsidDel="00000000" w:rsidR="00000000" w:rsidRPr="00000000">
        <w:rPr>
          <w:rtl w:val="0"/>
        </w:rPr>
        <w:t xml:space="preserve"> supports coordinate-based (absolute) positioning, modern development relies on specialized</w:t>
      </w:r>
      <w:r w:rsidDel="00000000" w:rsidR="00000000" w:rsidRPr="00000000">
        <w:rPr>
          <w:rtl w:val="0"/>
        </w:rPr>
        <w:t xml:space="preserve"> Layout Panes </w:t>
      </w:r>
      <w:r w:rsidDel="00000000" w:rsidR="00000000" w:rsidRPr="00000000">
        <w:rPr>
          <w:rtl w:val="0"/>
        </w:rPr>
        <w:t xml:space="preserve">to simplify node arrangement. According to JavaFX documentation, these panes automate the repositioning and resizing of elements as the application window changes, ensuring a responsive user interface (Oracle, 2021). Among these containers, </w:t>
      </w:r>
      <w:r w:rsidDel="00000000" w:rsidR="00000000" w:rsidRPr="00000000">
        <w:rPr>
          <w:rtl w:val="0"/>
        </w:rPr>
        <w:t xml:space="preserve">HBox</w:t>
      </w:r>
      <w:r w:rsidDel="00000000" w:rsidR="00000000" w:rsidRPr="00000000">
        <w:rPr>
          <w:rtl w:val="0"/>
        </w:rPr>
        <w:t xml:space="preserve"> and </w:t>
      </w:r>
      <w:r w:rsidDel="00000000" w:rsidR="00000000" w:rsidRPr="00000000">
        <w:rPr>
          <w:rtl w:val="0"/>
        </w:rPr>
        <w:t xml:space="preserve">VBox</w:t>
      </w:r>
      <w:r w:rsidDel="00000000" w:rsidR="00000000" w:rsidRPr="00000000">
        <w:rPr>
          <w:rtl w:val="0"/>
        </w:rPr>
        <w:t xml:space="preserve"> are the most basic, providing linear horizontal and vertical tracks for node placement. This paper outlines the technical properties of HBox and VBox layouts and demonstrates how their inheritance from the </w:t>
      </w:r>
      <w:r w:rsidDel="00000000" w:rsidR="00000000" w:rsidRPr="00000000">
        <w:rPr>
          <w:rtl w:val="0"/>
        </w:rPr>
        <w:t xml:space="preserve">Pane</w:t>
      </w:r>
      <w:r w:rsidDel="00000000" w:rsidR="00000000" w:rsidRPr="00000000">
        <w:rPr>
          <w:rtl w:val="0"/>
        </w:rPr>
        <w:t xml:space="preserve"> class enables the creation of structured, flexible interfaces.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g1n62ptyq71" w:id="1"/>
      <w:bookmarkEnd w:id="1"/>
      <w:r w:rsidDel="00000000" w:rsidR="00000000" w:rsidRPr="00000000">
        <w:rPr>
          <w:b w:val="1"/>
          <w:bCs w:val="1"/>
          <w:color w:val="000000"/>
          <w:sz w:val="26"/>
          <w:szCs w:val="26"/>
          <w:rtl w:val="0"/>
        </w:rPr>
        <w:t xml:space="preserve">HBox</w:t>
      </w:r>
    </w:p>
    <w:p w:rsidR="00000000" w:rsidDel="00000000" w:rsidP="00000000" w:rsidRDefault="00000000" w:rsidRPr="00000000" w14:paraId="00000009">
      <w:pPr>
        <w:spacing w:after="240" w:before="240" w:lineRule="auto"/>
        <w:rPr/>
      </w:pPr>
      <w:r w:rsidDel="00000000" w:rsidR="00000000" w:rsidRPr="00000000">
        <w:rPr>
          <w:rtl w:val="0"/>
        </w:rPr>
        <w:t xml:space="preserve">The </w:t>
      </w:r>
      <w:r w:rsidDel="00000000" w:rsidR="00000000" w:rsidRPr="00000000">
        <w:rPr>
          <w:rtl w:val="0"/>
        </w:rPr>
        <w:t xml:space="preserve">HBox</w:t>
      </w:r>
      <w:r w:rsidDel="00000000" w:rsidR="00000000" w:rsidRPr="00000000">
        <w:rPr>
          <w:rtl w:val="0"/>
        </w:rPr>
        <w:t xml:space="preserve"> layout is designed for linear, horizontal organization, placing nodes in a single row from left to right. A key feature of this pane is the </w:t>
      </w:r>
      <w:r w:rsidDel="00000000" w:rsidR="00000000" w:rsidRPr="00000000">
        <w:rPr>
          <w:rtl w:val="0"/>
        </w:rPr>
        <w:t xml:space="preserve">setSpacing(double)</w:t>
      </w:r>
      <w:r w:rsidDel="00000000" w:rsidR="00000000" w:rsidRPr="00000000">
        <w:rPr>
          <w:rtl w:val="0"/>
        </w:rPr>
        <w:t xml:space="preserve"> method, which defines the horizontal gap between children (Jenkov, 2021a). When this spacing is adjusted, the </w:t>
      </w:r>
      <w:r w:rsidDel="00000000" w:rsidR="00000000" w:rsidRPr="00000000">
        <w:rPr>
          <w:rtl w:val="0"/>
        </w:rPr>
        <w:t xml:space="preserve">HBox</w:t>
      </w:r>
      <w:r w:rsidDel="00000000" w:rsidR="00000000" w:rsidRPr="00000000">
        <w:rPr>
          <w:rtl w:val="0"/>
        </w:rPr>
        <w:t xml:space="preserve"> automatically shifts all subsequent nodes to maintain the specified distance, removing the need for manual coordinate calculations.</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rtl w:val="0"/>
        </w:rPr>
        <w:t xml:space="preserve">Hgrow</w:t>
      </w:r>
      <w:r w:rsidDel="00000000" w:rsidR="00000000" w:rsidRPr="00000000">
        <w:rPr>
          <w:rtl w:val="0"/>
        </w:rPr>
        <w:t xml:space="preserve"> constraint is a feature allowing specific components to expand and fill any "extra" horizontal space as the application window is resized. This is typically implemented via the static method </w:t>
      </w:r>
      <w:r w:rsidDel="00000000" w:rsidR="00000000" w:rsidRPr="00000000">
        <w:rPr>
          <w:rtl w:val="0"/>
        </w:rPr>
        <w:t xml:space="preserve">HBox.setHgrow()</w:t>
      </w:r>
      <w:r w:rsidDel="00000000" w:rsidR="00000000" w:rsidRPr="00000000">
        <w:rPr>
          <w:rtl w:val="0"/>
        </w:rPr>
        <w:t xml:space="preserve">, which assigns a priority level to a child node (Oracle, 2021). Complementing this is the </w:t>
      </w:r>
      <w:r w:rsidDel="00000000" w:rsidR="00000000" w:rsidRPr="00000000">
        <w:rPr>
          <w:rtl w:val="0"/>
        </w:rPr>
        <w:t xml:space="preserve">fillHeight</w:t>
      </w:r>
      <w:r w:rsidDel="00000000" w:rsidR="00000000" w:rsidRPr="00000000">
        <w:rPr>
          <w:rtl w:val="0"/>
        </w:rPr>
        <w:t xml:space="preserve"> property. When enabled, the </w:t>
      </w:r>
      <w:r w:rsidDel="00000000" w:rsidR="00000000" w:rsidRPr="00000000">
        <w:rPr>
          <w:rtl w:val="0"/>
        </w:rPr>
        <w:t xml:space="preserve">HBox</w:t>
      </w:r>
      <w:r w:rsidDel="00000000" w:rsidR="00000000" w:rsidRPr="00000000">
        <w:rPr>
          <w:rtl w:val="0"/>
        </w:rPr>
        <w:t xml:space="preserve"> automatically stretches all resizable child nodes to match its own height, ensuring a uniform and professional appearance for things like buttons and text in a navigation bar or toolbar.</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qkhgsiwv4xc" w:id="2"/>
      <w:bookmarkEnd w:id="2"/>
      <w:r w:rsidDel="00000000" w:rsidR="00000000" w:rsidRPr="00000000">
        <w:rPr>
          <w:b w:val="1"/>
          <w:bCs w:val="1"/>
          <w:color w:val="000000"/>
          <w:sz w:val="26"/>
          <w:szCs w:val="26"/>
          <w:rtl w:val="0"/>
        </w:rPr>
        <w:t xml:space="preserve">VBox</w:t>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rtl w:val="0"/>
        </w:rPr>
        <w:t xml:space="preserve">VBox</w:t>
      </w:r>
      <w:r w:rsidDel="00000000" w:rsidR="00000000" w:rsidRPr="00000000">
        <w:rPr>
          <w:rtl w:val="0"/>
        </w:rPr>
        <w:t xml:space="preserve"> operates nearly identically to the </w:t>
      </w:r>
      <w:r w:rsidDel="00000000" w:rsidR="00000000" w:rsidRPr="00000000">
        <w:rPr>
          <w:rtl w:val="0"/>
        </w:rPr>
        <w:t xml:space="preserve">HBox</w:t>
      </w:r>
      <w:r w:rsidDel="00000000" w:rsidR="00000000" w:rsidRPr="00000000">
        <w:rPr>
          <w:rtl w:val="0"/>
        </w:rPr>
        <w:t xml:space="preserve"> but along a vertical axis, making it a solid choice for sidebars, navigation menus, and input forms. It arranges nodes in a single column from top to bottom and utilizes the </w:t>
      </w:r>
      <w:r w:rsidDel="00000000" w:rsidR="00000000" w:rsidRPr="00000000">
        <w:rPr>
          <w:rtl w:val="0"/>
        </w:rPr>
        <w:t xml:space="preserve">spacing</w:t>
      </w:r>
      <w:r w:rsidDel="00000000" w:rsidR="00000000" w:rsidRPr="00000000">
        <w:rPr>
          <w:rtl w:val="0"/>
        </w:rPr>
        <w:t xml:space="preserve"> property to manage the vertical gaps between items (Jenkov, 2021b).</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rtl w:val="0"/>
        </w:rPr>
        <w:t xml:space="preserve">Vgrow</w:t>
      </w:r>
      <w:r w:rsidDel="00000000" w:rsidR="00000000" w:rsidRPr="00000000">
        <w:rPr>
          <w:rtl w:val="0"/>
        </w:rPr>
        <w:t xml:space="preserve"> constraint functions similarly to </w:t>
      </w:r>
      <w:r w:rsidDel="00000000" w:rsidR="00000000" w:rsidRPr="00000000">
        <w:rPr>
          <w:rtl w:val="0"/>
        </w:rPr>
        <w:t xml:space="preserve">Hgrow</w:t>
      </w:r>
      <w:r w:rsidDel="00000000" w:rsidR="00000000" w:rsidRPr="00000000">
        <w:rPr>
          <w:rtl w:val="0"/>
        </w:rPr>
        <w:t xml:space="preserve">, allowing a component to expand vertically to occupy available space within the column. This is particularly useful for separating a main content area from other items, like a footer. Additionally, the </w:t>
      </w:r>
      <w:r w:rsidDel="00000000" w:rsidR="00000000" w:rsidRPr="00000000">
        <w:rPr>
          <w:rtl w:val="0"/>
        </w:rPr>
        <w:t xml:space="preserve">fillWidth</w:t>
      </w:r>
      <w:r w:rsidDel="00000000" w:rsidR="00000000" w:rsidRPr="00000000">
        <w:rPr>
          <w:rtl w:val="0"/>
        </w:rPr>
        <w:t xml:space="preserve"> property ensures that children expand to the full width of the </w:t>
      </w:r>
      <w:r w:rsidDel="00000000" w:rsidR="00000000" w:rsidRPr="00000000">
        <w:rPr>
          <w:rtl w:val="0"/>
        </w:rPr>
        <w:t xml:space="preserve">VBox</w:t>
      </w:r>
      <w:r w:rsidDel="00000000" w:rsidR="00000000" w:rsidRPr="00000000">
        <w:rPr>
          <w:rtl w:val="0"/>
        </w:rPr>
        <w:t xml:space="preserve"> container. This is essential for creating consistent, full-width buttons in a menu, providing a cohesive layout regardless of an individual node’s preferred width. By managing these properties, developers can create a structured vertical flow that remains stable even as the user interacts with the application window.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c8qxfdfiisw" w:id="3"/>
      <w:bookmarkEnd w:id="3"/>
      <w:r w:rsidDel="00000000" w:rsidR="00000000" w:rsidRPr="00000000">
        <w:rPr>
          <w:b w:val="1"/>
          <w:bCs w:val="1"/>
          <w:color w:val="000000"/>
          <w:sz w:val="26"/>
          <w:szCs w:val="26"/>
          <w:rtl w:val="0"/>
        </w:rPr>
        <w:t xml:space="preserve">Comparison</w:t>
      </w:r>
    </w:p>
    <w:p w:rsidR="00000000" w:rsidDel="00000000" w:rsidP="00000000" w:rsidRDefault="00000000" w:rsidRPr="00000000" w14:paraId="0000000F">
      <w:pPr>
        <w:spacing w:after="240" w:before="240" w:lineRule="auto"/>
        <w:rPr/>
      </w:pPr>
      <w:r w:rsidDel="00000000" w:rsidR="00000000" w:rsidRPr="00000000">
        <w:rPr>
          <w:rtl w:val="0"/>
        </w:rPr>
        <w:t xml:space="preserve">The most obvious difference between these two panes is the orientation. An </w:t>
      </w:r>
      <w:r w:rsidDel="00000000" w:rsidR="00000000" w:rsidRPr="00000000">
        <w:rPr>
          <w:rtl w:val="0"/>
        </w:rPr>
        <w:t xml:space="preserve">HBox</w:t>
      </w:r>
      <w:r w:rsidDel="00000000" w:rsidR="00000000" w:rsidRPr="00000000">
        <w:rPr>
          <w:rtl w:val="0"/>
        </w:rPr>
        <w:t xml:space="preserve"> is ideal for elements that are conceptually equal and belong side-by-side, such as a set of navigation links in a header or a series of "OK" and "Cancel" buttons at the bottom of a dialog box. In contrast, the </w:t>
      </w:r>
      <w:r w:rsidDel="00000000" w:rsidR="00000000" w:rsidRPr="00000000">
        <w:rPr>
          <w:rtl w:val="0"/>
        </w:rPr>
        <w:t xml:space="preserve">VBox</w:t>
      </w:r>
      <w:r w:rsidDel="00000000" w:rsidR="00000000" w:rsidRPr="00000000">
        <w:rPr>
          <w:rtl w:val="0"/>
        </w:rPr>
        <w:t xml:space="preserve"> is better suited for hierarchical information or sequences that a user reads from top to bottom, such as a stack of news headlines or a login form.</w:t>
      </w:r>
    </w:p>
    <w:p w:rsidR="00000000" w:rsidDel="00000000" w:rsidP="00000000" w:rsidRDefault="00000000" w:rsidRPr="00000000" w14:paraId="00000010">
      <w:pPr>
        <w:spacing w:after="240" w:before="240" w:lineRule="auto"/>
        <w:rPr/>
      </w:pPr>
      <w:r w:rsidDel="00000000" w:rsidR="00000000" w:rsidRPr="00000000">
        <w:rPr>
          <w:rtl w:val="0"/>
        </w:rPr>
        <w:t xml:space="preserve">A primary technical difference is how they handle window resizing. In an </w:t>
      </w:r>
      <w:r w:rsidDel="00000000" w:rsidR="00000000" w:rsidRPr="00000000">
        <w:rPr>
          <w:rtl w:val="0"/>
        </w:rPr>
        <w:t xml:space="preserve">HBox</w:t>
      </w:r>
      <w:r w:rsidDel="00000000" w:rsidR="00000000" w:rsidRPr="00000000">
        <w:rPr>
          <w:rtl w:val="0"/>
        </w:rPr>
        <w:t xml:space="preserve">, the primary concern is horizontal flexibility. By using </w:t>
      </w:r>
      <w:r w:rsidDel="00000000" w:rsidR="00000000" w:rsidRPr="00000000">
        <w:rPr>
          <w:rtl w:val="0"/>
        </w:rPr>
        <w:t xml:space="preserve">Priority.ALWAYS</w:t>
      </w:r>
      <w:r w:rsidDel="00000000" w:rsidR="00000000" w:rsidRPr="00000000">
        <w:rPr>
          <w:rtl w:val="0"/>
        </w:rPr>
        <w:t xml:space="preserve"> with </w:t>
      </w:r>
      <w:r w:rsidDel="00000000" w:rsidR="00000000" w:rsidRPr="00000000">
        <w:rPr>
          <w:rtl w:val="0"/>
        </w:rPr>
        <w:t xml:space="preserve">Hgrow</w:t>
      </w:r>
      <w:r w:rsidDel="00000000" w:rsidR="00000000" w:rsidRPr="00000000">
        <w:rPr>
          <w:rtl w:val="0"/>
        </w:rPr>
        <w:t xml:space="preserve">, a developer can ensure that a search bar expands while the "Search" button next to it remains a fixed size. In a </w:t>
      </w:r>
      <w:r w:rsidDel="00000000" w:rsidR="00000000" w:rsidRPr="00000000">
        <w:rPr>
          <w:rtl w:val="0"/>
        </w:rPr>
        <w:t xml:space="preserve">VBox</w:t>
      </w:r>
      <w:r w:rsidDel="00000000" w:rsidR="00000000" w:rsidRPr="00000000">
        <w:rPr>
          <w:rtl w:val="0"/>
        </w:rPr>
        <w:t xml:space="preserve">, this same logic is applied vertically. For instance, in a sidebar layout, a </w:t>
      </w:r>
      <w:r w:rsidDel="00000000" w:rsidR="00000000" w:rsidRPr="00000000">
        <w:rPr>
          <w:rtl w:val="0"/>
        </w:rPr>
        <w:t xml:space="preserve">VBox</w:t>
      </w:r>
      <w:r w:rsidDel="00000000" w:rsidR="00000000" w:rsidRPr="00000000">
        <w:rPr>
          <w:rtl w:val="0"/>
        </w:rPr>
        <w:t xml:space="preserve"> might contain a logo, a navigation list, and a footer. By applying </w:t>
      </w:r>
      <w:r w:rsidDel="00000000" w:rsidR="00000000" w:rsidRPr="00000000">
        <w:rPr>
          <w:rtl w:val="0"/>
        </w:rPr>
        <w:t xml:space="preserve">Vgrow</w:t>
      </w:r>
      <w:r w:rsidDel="00000000" w:rsidR="00000000" w:rsidRPr="00000000">
        <w:rPr>
          <w:rtl w:val="0"/>
        </w:rPr>
        <w:t xml:space="preserve"> to the navigation list, the developer ensures that the list takes up all the central space, pushing the footer to the bottom of the window regardless of the screen size (Oracle, 2021).</w:t>
      </w:r>
    </w:p>
    <w:p w:rsidR="00000000" w:rsidDel="00000000" w:rsidP="00000000" w:rsidRDefault="00000000" w:rsidRPr="00000000" w14:paraId="00000011">
      <w:pPr>
        <w:spacing w:after="240" w:before="240" w:lineRule="auto"/>
        <w:rPr/>
      </w:pPr>
      <w:r w:rsidDel="00000000" w:rsidR="00000000" w:rsidRPr="00000000">
        <w:rPr>
          <w:rtl w:val="0"/>
        </w:rPr>
        <w:t xml:space="preserve">A common implementation in modern JavaFX development is nesting them together. A common UI pattern involves a main </w:t>
      </w:r>
      <w:r w:rsidDel="00000000" w:rsidR="00000000" w:rsidRPr="00000000">
        <w:rPr>
          <w:rtl w:val="0"/>
        </w:rPr>
        <w:t xml:space="preserve">VBox</w:t>
      </w:r>
      <w:r w:rsidDel="00000000" w:rsidR="00000000" w:rsidRPr="00000000">
        <w:rPr>
          <w:rtl w:val="0"/>
        </w:rPr>
        <w:t xml:space="preserve"> for the overall page structure (Header, Body, Footer). Inside that main </w:t>
      </w:r>
      <w:r w:rsidDel="00000000" w:rsidR="00000000" w:rsidRPr="00000000">
        <w:rPr>
          <w:rtl w:val="0"/>
        </w:rPr>
        <w:t xml:space="preserve">VBox</w:t>
      </w:r>
      <w:r w:rsidDel="00000000" w:rsidR="00000000" w:rsidRPr="00000000">
        <w:rPr>
          <w:rtl w:val="0"/>
        </w:rPr>
        <w:t xml:space="preserve">, an </w:t>
      </w:r>
      <w:r w:rsidDel="00000000" w:rsidR="00000000" w:rsidRPr="00000000">
        <w:rPr>
          <w:rtl w:val="0"/>
        </w:rPr>
        <w:t xml:space="preserve">HBox</w:t>
      </w:r>
      <w:r w:rsidDel="00000000" w:rsidR="00000000" w:rsidRPr="00000000">
        <w:rPr>
          <w:rtl w:val="0"/>
        </w:rPr>
        <w:t xml:space="preserve"> might be used for the Header to hold a logo and a "Log In" button on opposite ends. This "box-within-a-box" approach allows for complex layouts without the overhead of more complicated panes like </w:t>
      </w:r>
      <w:r w:rsidDel="00000000" w:rsidR="00000000" w:rsidRPr="00000000">
        <w:rPr>
          <w:rtl w:val="0"/>
        </w:rPr>
        <w:t xml:space="preserve">GridPane</w:t>
      </w:r>
      <w:r w:rsidDel="00000000" w:rsidR="00000000" w:rsidRPr="00000000">
        <w:rPr>
          <w:rtl w:val="0"/>
        </w:rPr>
        <w:t xml:space="preserve"> (Oracle, 2021).</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hut2ahs7qff" w:id="4"/>
      <w:bookmarkEnd w:id="4"/>
      <w:r w:rsidDel="00000000" w:rsidR="00000000" w:rsidRPr="00000000">
        <w:rPr>
          <w:b w:val="1"/>
          <w:bCs w:val="1"/>
          <w:color w:val="000000"/>
          <w:sz w:val="26"/>
          <w:szCs w:val="26"/>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JavaFX provides an efficient way to design a modern GUI framework. </w:t>
      </w:r>
      <w:r w:rsidDel="00000000" w:rsidR="00000000" w:rsidRPr="00000000">
        <w:rPr>
          <w:rtl w:val="0"/>
        </w:rPr>
        <w:t xml:space="preserve">VBox</w:t>
      </w:r>
      <w:r w:rsidDel="00000000" w:rsidR="00000000" w:rsidRPr="00000000">
        <w:rPr>
          <w:rtl w:val="0"/>
        </w:rPr>
        <w:t xml:space="preserve"> and </w:t>
      </w:r>
      <w:r w:rsidDel="00000000" w:rsidR="00000000" w:rsidRPr="00000000">
        <w:rPr>
          <w:rtl w:val="0"/>
        </w:rPr>
        <w:t xml:space="preserve">HBox</w:t>
      </w:r>
      <w:r w:rsidDel="00000000" w:rsidR="00000000" w:rsidRPr="00000000">
        <w:rPr>
          <w:rtl w:val="0"/>
        </w:rPr>
        <w:t xml:space="preserve"> both leverage inheritance to simplify node arrangement, and help to ensure adherence to the DRY (don’t repeat yourself) principle. As explored in this paper, the </w:t>
      </w:r>
      <w:r w:rsidDel="00000000" w:rsidR="00000000" w:rsidRPr="00000000">
        <w:rPr>
          <w:rtl w:val="0"/>
        </w:rPr>
        <w:t xml:space="preserve">HBox</w:t>
      </w:r>
      <w:r w:rsidDel="00000000" w:rsidR="00000000" w:rsidRPr="00000000">
        <w:rPr>
          <w:rtl w:val="0"/>
        </w:rPr>
        <w:t xml:space="preserve"> excels at horizontal distribution and alignment, while the </w:t>
      </w:r>
      <w:r w:rsidDel="00000000" w:rsidR="00000000" w:rsidRPr="00000000">
        <w:rPr>
          <w:rtl w:val="0"/>
        </w:rPr>
        <w:t xml:space="preserve">VBox</w:t>
      </w:r>
      <w:r w:rsidDel="00000000" w:rsidR="00000000" w:rsidRPr="00000000">
        <w:rPr>
          <w:rtl w:val="0"/>
        </w:rPr>
        <w:t xml:space="preserve"> provides the necessary structure for vertical stacking and form-based layouts.</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While other pane types may offer higher levels of </w:t>
      </w:r>
      <w:r w:rsidDel="00000000" w:rsidR="00000000" w:rsidRPr="00000000">
        <w:rPr>
          <w:rtl w:val="0"/>
        </w:rPr>
        <w:t xml:space="preserve">control</w:t>
      </w:r>
      <w:r w:rsidDel="00000000" w:rsidR="00000000" w:rsidRPr="00000000">
        <w:rPr>
          <w:rtl w:val="0"/>
        </w:rPr>
        <w:t xml:space="preserve">, the simplicity of the linear boxes is a primary strength. Their predictable behavior regarding spacing, padding, and growth priorities ensures that interfaces remain stable across different screen resolutions and window sizes. By mastering </w:t>
      </w:r>
      <w:r w:rsidDel="00000000" w:rsidR="00000000" w:rsidRPr="00000000">
        <w:rPr>
          <w:rtl w:val="0"/>
        </w:rPr>
        <w:t xml:space="preserve">HBox</w:t>
      </w:r>
      <w:r w:rsidDel="00000000" w:rsidR="00000000" w:rsidRPr="00000000">
        <w:rPr>
          <w:rtl w:val="0"/>
        </w:rPr>
        <w:t xml:space="preserve"> and </w:t>
      </w:r>
      <w:r w:rsidDel="00000000" w:rsidR="00000000" w:rsidRPr="00000000">
        <w:rPr>
          <w:rtl w:val="0"/>
        </w:rPr>
        <w:t xml:space="preserve">VBox</w:t>
      </w:r>
      <w:r w:rsidDel="00000000" w:rsidR="00000000" w:rsidRPr="00000000">
        <w:rPr>
          <w:rtl w:val="0"/>
        </w:rPr>
        <w:t xml:space="preserve">, a developer gains key foundational skills necessary to design modern JavaFX applications.</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o7x5rm5qr2e" w:id="5"/>
      <w:bookmarkEnd w:id="5"/>
      <w:r w:rsidDel="00000000" w:rsidR="00000000" w:rsidRPr="00000000">
        <w:rPr>
          <w:b w:val="1"/>
          <w:bCs w:val="1"/>
          <w:color w:val="000000"/>
          <w:sz w:val="26"/>
          <w:szCs w:val="26"/>
          <w:rtl w:val="0"/>
        </w:rPr>
        <w:t xml:space="preserve">References</w:t>
      </w:r>
    </w:p>
    <w:p w:rsidR="00000000" w:rsidDel="00000000" w:rsidP="00000000" w:rsidRDefault="00000000" w:rsidRPr="00000000" w14:paraId="00000016">
      <w:pPr>
        <w:spacing w:after="240" w:before="240" w:lineRule="auto"/>
        <w:rPr>
          <w:color w:val="1155cc"/>
          <w:u w:val="single"/>
        </w:rPr>
      </w:pPr>
      <w:r w:rsidDel="00000000" w:rsidR="00000000" w:rsidRPr="00000000">
        <w:rPr>
          <w:rtl w:val="0"/>
        </w:rPr>
        <w:t xml:space="preserve">Jenkov, J. (2021a). </w:t>
      </w:r>
      <w:r w:rsidDel="00000000" w:rsidR="00000000" w:rsidRPr="00000000">
        <w:rPr>
          <w:i w:val="1"/>
          <w:iCs w:val="1"/>
          <w:rtl w:val="0"/>
        </w:rPr>
        <w:t xml:space="preserve">JavaFX HBox</w:t>
      </w:r>
      <w:r w:rsidDel="00000000" w:rsidR="00000000" w:rsidRPr="00000000">
        <w:rPr>
          <w:rtl w:val="0"/>
        </w:rPr>
        <w:t xml:space="preserve">. Jenkov.com.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https://jenkov.com/tutorials/javafx/hbox.html</w:t>
        </w:r>
      </w:hyperlink>
      <w:r w:rsidDel="00000000" w:rsidR="00000000" w:rsidRPr="00000000">
        <w:rPr>
          <w:rtl w:val="0"/>
        </w:rPr>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Jenkov, J. (2021b). </w:t>
      </w:r>
      <w:r w:rsidDel="00000000" w:rsidR="00000000" w:rsidRPr="00000000">
        <w:rPr>
          <w:i w:val="1"/>
          <w:iCs w:val="1"/>
          <w:rtl w:val="0"/>
        </w:rPr>
        <w:t xml:space="preserve">JavaFX VBox</w:t>
      </w:r>
      <w:r w:rsidDel="00000000" w:rsidR="00000000" w:rsidRPr="00000000">
        <w:rPr>
          <w:rtl w:val="0"/>
        </w:rPr>
        <w:t xml:space="preserve">. Jenkov.com.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https://jenkov.com/tutorials/javafx/vbox.html</w:t>
        </w:r>
      </w:hyperlink>
      <w:r w:rsidDel="00000000" w:rsidR="00000000" w:rsidRPr="00000000">
        <w:rPr>
          <w:rtl w:val="0"/>
        </w:rPr>
      </w:r>
    </w:p>
    <w:p w:rsidR="00000000" w:rsidDel="00000000" w:rsidP="00000000" w:rsidRDefault="00000000" w:rsidRPr="00000000" w14:paraId="00000018">
      <w:pPr>
        <w:spacing w:after="240" w:before="240" w:lineRule="auto"/>
        <w:rPr>
          <w:color w:val="1155cc"/>
          <w:u w:val="single"/>
        </w:rPr>
      </w:pPr>
      <w:r w:rsidDel="00000000" w:rsidR="00000000" w:rsidRPr="00000000">
        <w:rPr>
          <w:rtl w:val="0"/>
        </w:rPr>
        <w:t xml:space="preserve">Oracle. (2014a). </w:t>
      </w:r>
      <w:r w:rsidDel="00000000" w:rsidR="00000000" w:rsidRPr="00000000">
        <w:rPr>
          <w:i w:val="1"/>
          <w:iCs w:val="1"/>
          <w:rtl w:val="0"/>
        </w:rPr>
        <w:t xml:space="preserve">Node (JavaFX 8)</w:t>
      </w:r>
      <w:r w:rsidDel="00000000" w:rsidR="00000000" w:rsidRPr="00000000">
        <w:rPr>
          <w:rtl w:val="0"/>
        </w:rPr>
        <w:t xml:space="preserve">. Oracle Help Center.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https://docs.oracle.com/javase/8/javafx/api/javafx/scene/Node.html</w:t>
        </w:r>
      </w:hyperlink>
      <w:r w:rsidDel="00000000" w:rsidR="00000000" w:rsidRPr="00000000">
        <w:rPr>
          <w:rtl w:val="0"/>
        </w:rPr>
      </w:r>
    </w:p>
    <w:p w:rsidR="00000000" w:rsidDel="00000000" w:rsidP="00000000" w:rsidRDefault="00000000" w:rsidRPr="00000000" w14:paraId="00000019">
      <w:pPr>
        <w:spacing w:after="240" w:before="240" w:lineRule="auto"/>
        <w:rPr>
          <w:color w:val="1155cc"/>
          <w:u w:val="single"/>
        </w:rPr>
      </w:pPr>
      <w:r w:rsidDel="00000000" w:rsidR="00000000" w:rsidRPr="00000000">
        <w:rPr>
          <w:rtl w:val="0"/>
        </w:rPr>
        <w:t xml:space="preserve">Oracle. (2014b). </w:t>
      </w:r>
      <w:r w:rsidDel="00000000" w:rsidR="00000000" w:rsidRPr="00000000">
        <w:rPr>
          <w:i w:val="1"/>
          <w:iCs w:val="1"/>
          <w:rtl w:val="0"/>
        </w:rPr>
        <w:t xml:space="preserve">Pane (JavaFX 8)</w:t>
      </w:r>
      <w:r w:rsidDel="00000000" w:rsidR="00000000" w:rsidRPr="00000000">
        <w:rPr>
          <w:rtl w:val="0"/>
        </w:rPr>
        <w:t xml:space="preserve">. Oracle Help Center.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https://docs.oracle.com/javase/8/javafx/api/javafx/scene/layout/Pane.html</w:t>
        </w:r>
      </w:hyperlink>
      <w:r w:rsidDel="00000000" w:rsidR="00000000" w:rsidRPr="00000000">
        <w:rPr>
          <w:rtl w:val="0"/>
        </w:rPr>
      </w:r>
    </w:p>
    <w:p w:rsidR="00000000" w:rsidDel="00000000" w:rsidP="00000000" w:rsidRDefault="00000000" w:rsidRPr="00000000" w14:paraId="0000001A">
      <w:pPr>
        <w:spacing w:after="240" w:before="240" w:lineRule="auto"/>
        <w:rPr>
          <w:color w:val="1155cc"/>
          <w:u w:val="single"/>
        </w:rPr>
      </w:pPr>
      <w:r w:rsidDel="00000000" w:rsidR="00000000" w:rsidRPr="00000000">
        <w:rPr>
          <w:rtl w:val="0"/>
        </w:rPr>
        <w:t xml:space="preserve">Oracle. (2021a). </w:t>
      </w:r>
      <w:r w:rsidDel="00000000" w:rsidR="00000000" w:rsidRPr="00000000">
        <w:rPr>
          <w:i w:val="1"/>
          <w:iCs w:val="1"/>
          <w:rtl w:val="0"/>
        </w:rPr>
        <w:t xml:space="preserve">Nesting layout panes</w:t>
      </w:r>
      <w:r w:rsidDel="00000000" w:rsidR="00000000" w:rsidRPr="00000000">
        <w:rPr>
          <w:rtl w:val="0"/>
        </w:rPr>
        <w:t xml:space="preserve">. JavaFX Tutorials.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https://docs.oracle.com/javase/8/javafx/layout-tutorial/size_align.htm</w:t>
        </w:r>
      </w:hyperlink>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Oracle. (2021b). </w:t>
      </w:r>
      <w:r w:rsidDel="00000000" w:rsidR="00000000" w:rsidRPr="00000000">
        <w:rPr>
          <w:i w:val="1"/>
          <w:iCs w:val="1"/>
          <w:rtl w:val="0"/>
        </w:rPr>
        <w:t xml:space="preserve">Using built-in layout panes</w:t>
      </w:r>
      <w:r w:rsidDel="00000000" w:rsidR="00000000" w:rsidRPr="00000000">
        <w:rPr>
          <w:rtl w:val="0"/>
        </w:rPr>
        <w:t xml:space="preserve">. JavaFX Tutorials.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https://docs.oracle.com/javase/8/javafx/layout-tutorial/builtin_layouts.htm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oracle.com/javase/8/javafx/api/javafx/scene/Node.html" TargetMode="External"/><Relationship Id="rId10" Type="http://schemas.openxmlformats.org/officeDocument/2006/relationships/hyperlink" Target="https://docs.oracle.com/javase/8/javafx/api/javafx/scene/Node.html" TargetMode="External"/><Relationship Id="rId13" Type="http://schemas.openxmlformats.org/officeDocument/2006/relationships/hyperlink" Target="https://docs.oracle.com/javase/8/javafx/api/javafx/scene/layout/Pane.html" TargetMode="External"/><Relationship Id="rId12" Type="http://schemas.openxmlformats.org/officeDocument/2006/relationships/hyperlink" Target="https://docs.oracle.com/javase/8/javafx/api/javafx/scene/layout/Pan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enkov.com/tutorials/javafx/vbox.html" TargetMode="External"/><Relationship Id="rId15" Type="http://schemas.openxmlformats.org/officeDocument/2006/relationships/hyperlink" Target="https://docs.oracle.com/javase/8/javafx/layout-tutorial/size_align.htm" TargetMode="External"/><Relationship Id="rId14" Type="http://schemas.openxmlformats.org/officeDocument/2006/relationships/hyperlink" Target="https://docs.oracle.com/javase/8/javafx/layout-tutorial/size_align.htm" TargetMode="External"/><Relationship Id="rId17" Type="http://schemas.openxmlformats.org/officeDocument/2006/relationships/hyperlink" Target="https://docs.oracle.com/javase/8/javafx/layout-tutorial/builtin_layouts.htm" TargetMode="External"/><Relationship Id="rId16" Type="http://schemas.openxmlformats.org/officeDocument/2006/relationships/hyperlink" Target="https://docs.oracle.com/javase/8/javafx/layout-tutorial/builtin_layouts.htm" TargetMode="External"/><Relationship Id="rId5" Type="http://schemas.openxmlformats.org/officeDocument/2006/relationships/styles" Target="styles.xml"/><Relationship Id="rId6" Type="http://schemas.openxmlformats.org/officeDocument/2006/relationships/hyperlink" Target="https://jenkov.com/tutorials/javafx/hbox.html" TargetMode="External"/><Relationship Id="rId7" Type="http://schemas.openxmlformats.org/officeDocument/2006/relationships/hyperlink" Target="https://jenkov.com/tutorials/javafx/hbox.html" TargetMode="External"/><Relationship Id="rId8" Type="http://schemas.openxmlformats.org/officeDocument/2006/relationships/hyperlink" Target="https://jenkov.com/tutorials/javafx/vbo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