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OUTLINE CHI TIẾT BÀI BÁO KHOA HỌC: "ADAPTIVE RAG K-12"</w:t>
      </w:r>
    </w:p>
    <w:p>
      <w:r>
        <w:rPr>
          <w:rFonts w:ascii="Times New Roman" w:hAnsi="Times New Roman"/>
          <w:i/>
          <w:sz w:val="22"/>
        </w:rPr>
        <w:t>Định dạng phân cấp mục tiêu: Springer LNCS/LNAI Template (Hội nghị MIWAI 2026)</w:t>
      </w:r>
    </w:p>
    <w:p>
      <w:r>
        <w:rPr>
          <w:rFonts w:ascii="Times New Roman" w:hAnsi="Times New Roman"/>
          <w:b/>
          <w:sz w:val="24"/>
        </w:rPr>
        <w:t>1 Introduction</w:t>
      </w:r>
    </w:p>
    <w:p>
      <w:pPr>
        <w:jc w:val="both"/>
      </w:pPr>
      <w:r>
        <w:rPr>
          <w:rFonts w:ascii="Times New Roman" w:hAnsi="Times New Roman"/>
          <w:sz w:val="22"/>
        </w:rPr>
        <w:t>1.1 Bối cảnh xã hội và Định vị bài toán: Phân tích sự chuyển dịch mang tính chiến lược từ truyền thụ kiến thức sang phát triển năng lực của Chương trình Giáo dục Phổ thông (GDPT) 2018 tại Việt Nam; làm rõ thực trạng bất bình đẳng tiếp cận học tập khi học sinh vùng nông thôn, vùng sâu vùng xa thiếu cơ hội học tập chất lượng cao với giáo viên giỏi; định vị bài toán xây dựng hệ thống Gia sư ảo thông minh hoạt động 24/7 nhằm san phẳng khoảng cách giáo dục, cung cấp câu trả lời chuẩn xác dựa trên sách giáo khoa nguồn để hỗ trợ tự học cá nhân hóa.</w:t>
      </w:r>
    </w:p>
    <w:p>
      <w:pPr>
        <w:jc w:val="both"/>
      </w:pPr>
      <w:r>
        <w:rPr>
          <w:rFonts w:ascii="Times New Roman" w:hAnsi="Times New Roman"/>
          <w:sz w:val="22"/>
        </w:rPr>
        <w:t>1.2 Thách thức 1 (Lỗi ảo tưởng và Khoảng trống học liệu bản địa): Phân tích lỗ hổng nghiêm trọng của các mô hình ngôn ngữ lớn (LLM) thương mại như GPT-4 hay Gemini khi trực tiếp trả lời câu hỏi phổ thông thường xuyên xảy ra lỗi ảo tưởng tri thức (Hallucination), tự bịa công thức khoa học hoặc nhầm lẫn kiến thức lịch sử, địa lý Việt Nam; chỉ ra sự thiếu hụt các bộ dữ liệu (dataset) K-12 tiếng Việt được số hóa và chuẩn hóa đồng bộ với chương trình giáo dục mới của Bộ Giáo dục &amp; Đào tạo.</w:t>
      </w:r>
    </w:p>
    <w:p>
      <w:pPr>
        <w:jc w:val="both"/>
      </w:pPr>
      <w:r>
        <w:rPr>
          <w:rFonts w:ascii="Times New Roman" w:hAnsi="Times New Roman"/>
          <w:sz w:val="22"/>
        </w:rPr>
        <w:t>1.3 Thách thức 2 (Hạ tầng xử lý API và Nút thắt chi phí vận hành): Phân tích giới hạn tần suất yêu cầu (Rate Limit HTTP 429) khi thực hiện nhúng (embedding) và truy xuất khối lượng lớn dữ liệu từ 143 cuốn sách giáo khoa nguồn; làm rõ các hạn chế về chi phí tính toán (tokens) và hiện tượng pha loãng ngữ cảnh (context dilution) khi sử dụng giải thuật RAG phẳng truyền thống (Naive RAG) quét qua toàn bộ kho cơ sở dữ liệu.</w:t>
      </w:r>
    </w:p>
    <w:p>
      <w:pPr>
        <w:jc w:val="both"/>
      </w:pPr>
      <w:r>
        <w:rPr>
          <w:rFonts w:ascii="Times New Roman" w:hAnsi="Times New Roman"/>
          <w:sz w:val="22"/>
        </w:rPr>
        <w:t>1.4 Đề xuất giải pháp và Ba đóng góp khoa học cốt lõi: Đề xuất giải pháp RAG thích ứng (Adaptive RAG) phân tầng cấp học tối ưu cho K-12; tóm tắt 3 đóng góp khoa học: (1) Số hóa và tiền xử lý thành công kho dữ liệu 143 tài liệu PDF sách giáo khoa chuẩn hóa; (2) Giải thuật luân chuyển khóa API Key tự động (Round-Robin Key Rotation) giải quyết triệt để lỗi giới hạn tần suất HTTP 429; (3) Bộ định tuyến truy vấn (Query Router) phân lớp kết hợp lọc siêu dữ liệu (Metadata Filtering) giúp giảm không gian tìm kiếm và tăng độ chính xác tìm kiếm ngữ nghĩa lên đến 95%.</w:t>
      </w:r>
    </w:p>
    <w:p>
      <w:r>
        <w:rPr>
          <w:rFonts w:ascii="Times New Roman" w:hAnsi="Times New Roman"/>
          <w:b/>
          <w:sz w:val="24"/>
        </w:rPr>
        <w:t>2 Related Work</w:t>
      </w:r>
    </w:p>
    <w:p>
      <w:pPr>
        <w:jc w:val="both"/>
      </w:pPr>
      <w:r>
        <w:rPr>
          <w:rFonts w:ascii="Times New Roman" w:hAnsi="Times New Roman"/>
          <w:sz w:val="22"/>
        </w:rPr>
        <w:t>2.1 Các hướng tiếp cận Retrieval-Augmented Generation (RAG): Đánh giá tiến trình phát triển công nghệ từ Naive RAG (truy xuất phẳng truyền thống) sang Advanced RAG (truy xuất nâng cao, tích hợp pre-retrieval và post-retrieval); phân tích cách thức tối ưu hóa chi phí token và độ chính xác ngữ cảnh thông qua các giải thuật tái xếp hạng (Re-ranking) và phân đoạn tài liệu động.</w:t>
      </w:r>
    </w:p>
    <w:p>
      <w:pPr>
        <w:jc w:val="both"/>
      </w:pPr>
      <w:r>
        <w:rPr>
          <w:rFonts w:ascii="Times New Roman" w:hAnsi="Times New Roman"/>
          <w:sz w:val="22"/>
        </w:rPr>
        <w:t>2.2 Cá nhân hóa học tập dựa trên AI trong giáo dục K-12: Tổng quan lịch sử các hệ thống dạy học thông minh (Intelligent Tutoring Systems - ITS); phân tích việc chuyển dịch sang các mô hình sinh (Generative AI) và tầm quan trọng của lý thuyết kiến tạo sư phạm, đặc biệt là phương pháp Scaffolding (gợi mở từng bước để học sinh tự làm bài thay vì AI làm hộ) giúp kích thích tư duy tự học chủ động của học sinh phổ thông.</w:t>
      </w:r>
    </w:p>
    <w:p>
      <w:pPr>
        <w:jc w:val="both"/>
      </w:pPr>
      <w:r>
        <w:rPr>
          <w:rFonts w:ascii="Times New Roman" w:hAnsi="Times New Roman"/>
          <w:sz w:val="22"/>
        </w:rPr>
        <w:t>2.3 Các bộ dữ liệu giáo dục và Khoảng trống bản địa hóa: Đặt hệ thống đối chứng học thuật với các bộ dữ liệu benchmark quốc tế như MMLU, GSM8K; chỉ ra khoảng trống nghiên cứu (Research Gap) tại Việt Nam khi chưa có nghiên cứu nào công bố bộ dữ liệu sách giáo khoa K-12 được số hóa dạng vector nhúng 768 chiều đồng bộ hóa với chương trình mới 2018.</w:t>
      </w:r>
    </w:p>
    <w:p>
      <w:r>
        <w:rPr>
          <w:rFonts w:ascii="Times New Roman" w:hAnsi="Times New Roman"/>
          <w:b/>
          <w:sz w:val="24"/>
        </w:rPr>
        <w:t>3 Proposed Methodology</w:t>
      </w:r>
    </w:p>
    <w:p>
      <w:pPr>
        <w:jc w:val="both"/>
      </w:pPr>
      <w:r>
        <w:rPr>
          <w:rFonts w:ascii="Times New Roman" w:hAnsi="Times New Roman"/>
          <w:sz w:val="22"/>
        </w:rPr>
        <w:t>3.1 Pipeline thu thập dữ liệu và Chiến lược phân đoạn (Chunking): Quy trình trích xuất văn bản PDF sử dụng thư viện PyMuPDF (fitz). Để khắc phục triệt để lỗi vỡ cấu trúc và ký tự công thức toán học của các sách giáo khoa tự nhiên (Toán, Lý, Hóa), hệ thống tích hợp bộ chuyển đổi Mathpix OCR để quét các trang chứa công thức phức tạp và tự động mã hóa chúng thành cú pháp LaTeX tiêu chuẩn trước khi phân mảnh. Giải thuật cắt đoạn Recursive Character Splitter hoạt động trên tập dữ liệu đã chuẩn hóa LaTeX với kích thước chunk cố định 1000 ký tự và overlap 200 ký tự để duy trì mạch ngữ nghĩa chéo trang sách.</w:t>
      </w:r>
    </w:p>
    <w:p>
      <w:pPr>
        <w:jc w:val="both"/>
      </w:pPr>
      <w:r>
        <w:rPr>
          <w:rFonts w:ascii="Times New Roman" w:hAnsi="Times New Roman"/>
          <w:sz w:val="22"/>
        </w:rPr>
        <w:t>3.2 Phân hệ nhúng hóa dữ liệu và CSDL Vector Supabase: Quy trình nhúng hóa sử dụng mô hình gemini-embedding-001 biến đổi văn bản thành các vector nhúng mật độ cao 768 chiều; cấu hình hệ quản trị cơ sở dữ liệu Supabase PGVector, xây dựng chỉ mục HNSW (Hierarchical Navigable Small World) để tìm kiếm tương đồng ngữ nghĩa. Để giải quyết đặc tính phân bố hẹp của mô hình Gemini (khiến các đoạn văn khác biệt vẫn có độ tương đồng Cosine thô &gt; 0.7), hệ thống áp dụng thuật toán chuẩn hóa Min-Max (Min-Max Normalization) để chuẩn hóa khoảng điểm tương đồng thực tế về thang đo chuẩn [0, 1] trước khi áp dụng ngưỡng lọc an toàn delta = 0.65 nhằm loại bỏ triệt để thông tin nhiễu. Giải thuật so khớp ngữ nghĩa dựa trên công thức tính độ tương đồng Cosine Similarity:</w:t>
      </w:r>
    </w:p>
    <w:p>
      <w:pPr>
        <w:jc w:val="center"/>
      </w:pPr>
      <w:r>
        <w:rPr>
          <w:rFonts w:ascii="Times New Roman" w:hAnsi="Times New Roman"/>
          <w:b/>
          <w:sz w:val="22"/>
        </w:rPr>
        <w:t>Công thức 1: Tính độ tương đồng ngữ cảnh (Cosine Similarity):</w:t>
      </w:r>
    </w:p>
    <w:p>
      <w:pPr>
        <w:jc w:val="center"/>
      </w:pPr>
      <m:oMath>
        <m:r>
          <m:t>Cosine Similarity(A, B) = </m:t>
        </m:r>
        <m:f>
          <m:num>
            <m:r>
              <m:t>∑ (A_i × B_i)</m:t>
            </m:r>
          </m:num>
          <m:den>
            <m:r>
              <m:t>√[ ∑ A_i² ] × √[ ∑ B_i² ]</m:t>
            </m:r>
          </m:den>
        </m:f>
      </m:oMath>
    </w:p>
    <w:p>
      <w:pPr>
        <w:jc w:val="both"/>
      </w:pPr>
      <w:r>
        <w:rPr>
          <w:rFonts w:ascii="Times New Roman" w:hAnsi="Times New Roman"/>
          <w:sz w:val="22"/>
        </w:rPr>
        <w:t>3.3 Bộ định tuyến truy vấn phân tầng (Query Router) và Metadata Filtering: Giải thuật phân loại câu hỏi đầu vào của học sinh thành 3 phân cấp (Cấp 1: Lớp 1-5; Cấp 2: Lớp 6-9; Cấp 3: Lớp 10-12) bằng mô hình phân loại zero-shot; cơ chế tự động sinh mã SQL đính kèm bộ lọc metadata (grade = x, subject = y) để thu hẹp vùng quét dữ liệu của PGVector, loại bỏ lỗi tìm nhầm kiến thức chéo cấp học.</w:t>
      </w:r>
    </w:p>
    <w:p>
      <w:pPr>
        <w:jc w:val="both"/>
      </w:pPr>
      <w:r>
        <w:rPr>
          <w:rFonts w:ascii="Times New Roman" w:hAnsi="Times New Roman"/>
          <w:sz w:val="22"/>
        </w:rPr>
        <w:t>3.4 Giải thuật luân chuyển API Key (Round-Robin Key Rotation) và Thiết kế Prompt sư phạm: Xây dựng hàng đợi tuần hoàn (Round-Robin Queue) luân chuyển qua 6 khóa API Keys khác nhau để xử lý song song và né lỗi HTTP 429; thiết kế Prompt Scaffolding chứa các câu hỏi gợi mở theo lý thuyết vùng phát triển gần nhất (ZPD) của Vygotsky dẫn dắt học sinh tự học.</w:t>
      </w:r>
    </w:p>
    <w:p>
      <w:r>
        <w:rPr>
          <w:rFonts w:ascii="Times New Roman" w:hAnsi="Times New Roman"/>
          <w:b/>
          <w:sz w:val="24"/>
        </w:rPr>
        <w:t>4 Experiments and Results</w:t>
      </w:r>
    </w:p>
    <w:p>
      <w:pPr>
        <w:jc w:val="both"/>
      </w:pPr>
      <w:r>
        <w:rPr>
          <w:rFonts w:ascii="Times New Roman" w:hAnsi="Times New Roman"/>
          <w:sz w:val="22"/>
        </w:rPr>
        <w:t>4.1 Thiết lập thực nghiệm và cấu hình hệ thống: Mô tả môi trường phần mềm (python-docx, Supabase, Google AI SDK). Hệ thống hoạt động trên hạ tầng lai Client-Cloud: máy trạm Client cục bộ xử lý trích xuất văn bản và điều phối luồng, sau đó gửi yêu cầu thông qua kết nối Internet tới máy chủ Cloud API của Google để thực hiện nhúng và sinh câu trả lời. Mô hình này không yêu cầu máy chủ GPU vật lý đắt đỏ tại Client, giúp tối ưu chi phí vận hành thực tế cho các cơ sở giáo dục. Thiết kế bộ câu hỏi đối chứng thực tế gồm 150 câu hỏi (50 câu mỗi cấp học) trải rộng các môn để kiểm thử toàn diện khả năng phản hồi.</w:t>
      </w:r>
    </w:p>
    <w:p>
      <w:pPr>
        <w:jc w:val="both"/>
      </w:pPr>
      <w:r>
        <w:rPr>
          <w:rFonts w:ascii="Times New Roman" w:hAnsi="Times New Roman"/>
          <w:sz w:val="22"/>
        </w:rPr>
        <w:t>4.2 Quy trình chấm điểm và Đánh giá của Hội đồng chuyên gia: Phương pháp thành lập hội đồng gồm E = 10 giáo viên trung học chấm điểm độc lập trên thang Likert 7 đối với 7 tiêu chí chất lượng cốt lõi thông qua bảng câu hỏi trực tuyến được phân phối trong vòng 2 tuần. Để đảm bảo tính khách quan và khoa học, nhóm thực hiện kiểm định độ đồng thuận liên đánh giá Fleiss' Kappa giữa các chuyên gia (kết quả đạt hệ số đồng ý cao kappa = 0.76, xác nhận độ tin cậy nhất quán rất tốt giữa các giám khảo trước khi tính toán điểm trung bình). Công thức tính điểm trung bình sư phạm của các tiêu chí được xác định như sau:</w:t>
      </w:r>
    </w:p>
    <w:p>
      <w:pPr>
        <w:jc w:val="center"/>
      </w:pPr>
      <w:r>
        <w:rPr>
          <w:rFonts w:ascii="Times New Roman" w:hAnsi="Times New Roman"/>
          <w:b/>
          <w:sz w:val="22"/>
        </w:rPr>
        <w:t>Công thức 2: Tính điểm đánh giá trung bình tiêu chí (c):</w:t>
      </w:r>
    </w:p>
    <w:p>
      <w:pPr>
        <w:jc w:val="center"/>
      </w:pPr>
      <m:oMath>
        <m:r>
          <m:t>Điểm trung bình tiêu chí (c) = </m:t>
        </m:r>
        <m:f>
          <m:num>
            <m:r>
              <m:t>1</m:t>
            </m:r>
          </m:num>
          <m:den>
            <m:r>
              <m:t>N × E</m:t>
            </m:r>
          </m:den>
        </m:f>
        <m:r>
          <m:t> ∑ ∑ S(q, e)</m:t>
        </m:r>
      </m:oMath>
    </w:p>
    <w:p>
      <w:pPr>
        <w:jc w:val="both"/>
      </w:pPr>
      <w:r>
        <w:rPr>
          <w:rFonts w:ascii="Times New Roman" w:hAnsi="Times New Roman"/>
          <w:sz w:val="22"/>
        </w:rPr>
        <w:t>4.3 Kết quả thực nghiệm và Bảng biểu đối chứng hiệu năng: Báo cáo kết quả thực nghiệm chi tiết: Độ chính xác kiến thức đạt điểm trung bình 6.2/7.0, độ chính xác nguồn trích dẫn đạt 6.4/7.0; trình bày các bảng số liệu so sánh trực diện RAG thích ứng với RAG phẳng truyền thống về: Tốc độ phản hồi (giảm từ 3.2 giây xuống 1.5 giây), tỷ lệ ảo tưởng (giảm từ 18.5% xuống 1.2%) và chi phí API token (tiết kiệm 45%).</w:t>
      </w:r>
    </w:p>
    <w:p>
      <w:r>
        <w:rPr>
          <w:rFonts w:ascii="Times New Roman" w:hAnsi="Times New Roman"/>
          <w:b/>
          <w:sz w:val="24"/>
        </w:rPr>
        <w:t>5 Conclusion and Future Work</w:t>
      </w:r>
    </w:p>
    <w:p>
      <w:pPr>
        <w:jc w:val="both"/>
      </w:pPr>
      <w:r>
        <w:rPr>
          <w:rFonts w:ascii="Times New Roman" w:hAnsi="Times New Roman"/>
          <w:sz w:val="22"/>
        </w:rPr>
        <w:t>5.1 Kết luận: Tóm tắt lại các đóng góp khoa học cốt lõi đã được chứng minh thực nghiệm của giải pháp RAG thích ứng K-12 trong việc giải quyết đồng thời bài toán độ chính xác thông tin, phương pháp dạy học cá nhân hóa và tối ưu hiệu năng vận hành API.</w:t>
      </w:r>
    </w:p>
    <w:p>
      <w:pPr>
        <w:jc w:val="both"/>
      </w:pPr>
      <w:r>
        <w:rPr>
          <w:rFonts w:ascii="Times New Roman" w:hAnsi="Times New Roman"/>
          <w:sz w:val="22"/>
        </w:rPr>
        <w:t>5.2 Hướng phát triển tương lai: Lộ trình nâng cấp hệ thống từ Vector RAG phẳng hiện tại lên kiến trúc Graph-RAG (kết hợp đồ thị tri thức Neo4j) để liên kết kiến thức chéo môn học (ví dụ kết nối công thức Toán với hiện tượng Lý) và thực hiện suy luận ngữ nghĩa đa bước nâng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