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sz w:val="96"/>
          <w:szCs w:val="96"/>
        </w:rPr>
        <w:t xml:space="preserve">🌱</w:t>
      </w:r>
    </w:p>
    <w:p>
      <w:pPr>
        <w:spacing w:after="80"/>
        <w:jc w:val="center"/>
      </w:pPr>
      <w:r>
        <w:rPr>
          <w:rFonts w:ascii="Calibri" w:cs="Calibri" w:eastAsia="Calibri" w:hAnsi="Calibri"/>
          <w:b/>
          <w:bCs/>
          <w:color w:val="B08D2B"/>
          <w:spacing w:val="20"/>
          <w:sz w:val="24"/>
          <w:szCs w:val="24"/>
        </w:rPr>
        <w:t xml:space="preserve">ADDENDUM</w:t>
      </w:r>
    </w:p>
    <w:p>
      <w:pPr>
        <w:spacing w:after="200"/>
        <w:jc w:val="center"/>
      </w:pPr>
      <w:r>
        <w:rPr>
          <w:rFonts w:ascii="Calibri" w:cs="Calibri" w:eastAsia="Calibri" w:hAnsi="Calibri"/>
          <w:b/>
          <w:bCs/>
          <w:color w:val="1B5E20"/>
          <w:sz w:val="56"/>
          <w:szCs w:val="56"/>
        </w:rPr>
        <w:t xml:space="preserve">Business Model &amp;</w:t>
      </w:r>
    </w:p>
    <w:p>
      <w:pPr>
        <w:spacing w:after="200"/>
        <w:jc w:val="center"/>
      </w:pPr>
      <w:r>
        <w:rPr>
          <w:rFonts w:ascii="Calibri" w:cs="Calibri" w:eastAsia="Calibri" w:hAnsi="Calibri"/>
          <w:b/>
          <w:bCs/>
          <w:color w:val="1B5E20"/>
          <w:sz w:val="56"/>
          <w:szCs w:val="56"/>
        </w:rPr>
        <w:t xml:space="preserve">Go-to-Market Strategy</w:t>
      </w:r>
    </w:p>
    <w:p>
      <w:pPr>
        <w:spacing w:after="600"/>
        <w:jc w:val="center"/>
      </w:pPr>
      <w:r>
        <w:rPr>
          <w:rFonts w:ascii="Calibri" w:cs="Calibri" w:eastAsia="Calibri" w:hAnsi="Calibri"/>
          <w:i/>
          <w:iCs/>
          <w:color w:val="2E7D32"/>
          <w:sz w:val="26"/>
          <w:szCs w:val="26"/>
        </w:rPr>
        <w:t xml:space="preserve">Supplementary to the ShambaAI System Requirements Document</w:t>
      </w:r>
    </w:p>
    <w:p>
      <w:pPr>
        <w:pBdr>
          <w:top w:val="single" w:color="4CAF50" w:sz="8" w:space="10"/>
        </w:pBdr>
        <w:spacing w:after="60"/>
        <w:jc w:val="center"/>
      </w:pPr>
    </w:p>
    <w:p>
      <w:pPr>
        <w:spacing w:after="40"/>
        <w:jc w:val="center"/>
      </w:pPr>
      <w:r>
        <w:rPr>
          <w:rFonts w:ascii="Calibri" w:cs="Calibri" w:eastAsia="Calibri" w:hAnsi="Calibri"/>
          <w:color w:val="5F6368"/>
          <w:sz w:val="22"/>
          <w:szCs w:val="22"/>
        </w:rPr>
        <w:t xml:space="preserve">Version 1.0</w:t>
      </w:r>
    </w:p>
    <w:p>
      <w:pPr>
        <w:spacing w:after="40"/>
        <w:jc w:val="center"/>
      </w:pPr>
      <w:r>
        <w:rPr>
          <w:rFonts w:ascii="Calibri" w:cs="Calibri" w:eastAsia="Calibri" w:hAnsi="Calibri"/>
          <w:color w:val="5F6368"/>
          <w:sz w:val="22"/>
          <w:szCs w:val="22"/>
        </w:rPr>
        <w:t xml:space="preserve">July 3, 2026</w:t>
      </w:r>
    </w:p>
    <w:p>
      <w:pPr>
        <w:jc w:val="center"/>
      </w:pPr>
      <w:r>
        <w:rPr>
          <w:rFonts w:ascii="Calibri" w:cs="Calibri" w:eastAsia="Calibri" w:hAnsi="Calibri"/>
          <w:i/>
          <w:iCs/>
          <w:color w:val="5F6368"/>
          <w:sz w:val="22"/>
          <w:szCs w:val="22"/>
        </w:rPr>
        <w:t xml:space="preserve">Prepared for Stakeholder &amp; Investor Review</w:t>
      </w:r>
    </w:p>
    <w:p>
      <w:pPr>
        <w:sectPr>
          <w:pgSz w:w="12240" w:h="15840" w:orient="portrait"/>
          <w:pgMar w:top="1440" w:right="1440" w:bottom="1440" w:left="1440" w:header="708" w:footer="708" w:gutter="0"/>
          <w:pgNumType/>
          <w:docGrid w:linePitch="360"/>
        </w:sectPr>
      </w:pPr>
    </w:p>
    <w:p>
      <w:pPr>
        <w:spacing w:after="300"/>
      </w:pPr>
      <w:r>
        <w:rPr>
          <w:rFonts w:ascii="Calibri" w:cs="Calibri" w:eastAsia="Calibri" w:hAnsi="Calibri"/>
          <w:b/>
          <w:bCs/>
          <w:color w:val="1B5E20"/>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400"/>
      </w:pPr>
      <w:r>
        <w:rPr>
          <w:i/>
          <w:iCs/>
          <w:color w:val="5F6368"/>
          <w:sz w:val="18"/>
          <w:szCs w:val="18"/>
        </w:rPr>
        <w:t xml:space="preserve">Right-click the table above and choose "Update Field" in Microsoft Word to populate page numbers.</w:t>
      </w:r>
    </w:p>
    <w:p>
      <w:pPr>
        <w:sectPr>
          <w:pgSz w:w="11906" w:h="16838" w:orient="portrait"/>
          <w:pgMar w:top="1440" w:right="1440" w:bottom="1440" w:left="1440" w:header="708" w:footer="708" w:gutter="0"/>
          <w:pgNumType/>
          <w:docGrid w:linePitch="360"/>
        </w:sectPr>
      </w:pPr>
    </w:p>
    <w:p>
      <w:pPr>
        <w:spacing w:after="160" w:line="276"/>
      </w:pPr>
      <w:r>
        <w:rPr>
          <w:rFonts w:ascii="Calibri" w:cs="Calibri" w:eastAsia="Calibri" w:hAnsi="Calibri"/>
          <w:i/>
          <w:iCs/>
          <w:color w:val="5F6368"/>
          <w:sz w:val="22"/>
          <w:szCs w:val="22"/>
        </w:rPr>
        <w:t xml:space="preserve">This addendum extends the ShambaAI System Requirements Document with the commercial, operational, and risk considerations required for stakeholder and investor evaluation. It should be read alongside the SRD.</w:t>
      </w:r>
    </w:p>
    <w:p>
      <w:pPr>
        <w:spacing w:after="100"/>
      </w:pPr>
    </w:p>
    <w:p>
      <w:pPr>
        <w:pStyle w:val="Heading1"/>
        <w:pBdr>
          <w:bottom w:val="single" w:color="4CAF50" w:sz="12" w:space="4"/>
        </w:pBdr>
        <w:spacing w:after="240" w:before="480"/>
      </w:pPr>
      <w:r>
        <w:rPr>
          <w:rFonts w:ascii="Calibri" w:cs="Calibri" w:eastAsia="Calibri" w:hAnsi="Calibri"/>
          <w:b/>
          <w:bCs/>
          <w:color w:val="B08D2B"/>
          <w:sz w:val="32"/>
          <w:szCs w:val="32"/>
        </w:rPr>
        <w:t xml:space="preserve">1  </w:t>
      </w:r>
      <w:r>
        <w:rPr>
          <w:rFonts w:ascii="Calibri" w:cs="Calibri" w:eastAsia="Calibri" w:hAnsi="Calibri"/>
          <w:b/>
          <w:bCs/>
          <w:color w:val="1B5E20"/>
          <w:sz w:val="32"/>
          <w:szCs w:val="32"/>
        </w:rPr>
        <w:t xml:space="preserve">Business Model &amp; Monetization</w:t>
      </w:r>
    </w:p>
    <w:p>
      <w:pPr>
        <w:spacing w:after="160" w:line="276"/>
      </w:pPr>
      <w:r>
        <w:rPr>
          <w:rFonts w:ascii="Calibri" w:cs="Calibri" w:eastAsia="Calibri" w:hAnsi="Calibri"/>
          <w:color w:val="212121"/>
          <w:sz w:val="22"/>
          <w:szCs w:val="22"/>
        </w:rPr>
        <w:t xml:space="preserve">ShambaAI adopts a layered revenue model, recognizing that individual smallholder farmers have low willingness/ability to pay directly, while value aggregates meaningfully at the cooperative, agribusiness, and institutional level.</w:t>
      </w:r>
    </w:p>
    <w:p>
      <w:pPr>
        <w:pStyle w:val="Heading2"/>
        <w:spacing w:after="160" w:before="320"/>
      </w:pPr>
      <w:r>
        <w:rPr>
          <w:rFonts w:ascii="Calibri" w:cs="Calibri" w:eastAsia="Calibri" w:hAnsi="Calibri"/>
          <w:b/>
          <w:bCs/>
          <w:color w:val="2E7D32"/>
          <w:sz w:val="26"/>
          <w:szCs w:val="26"/>
        </w:rPr>
        <w:t xml:space="preserve">1.1  Revenue Streams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00"/>
      </w:tblGrid>
      <w:tr>
        <w:trPr>
          <w:tblHeader/>
        </w:trPr>
        <w:tc>
          <w:tcPr>
            <w:tcW w:type="dxa" w:w="26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Stream</w:t>
            </w:r>
          </w:p>
        </w:tc>
        <w:tc>
          <w:tcPr>
            <w:tcW w:type="dxa" w:w="46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Model</w:t>
            </w:r>
          </w:p>
        </w:tc>
        <w:tc>
          <w:tcPr>
            <w:tcW w:type="dxa" w:w="21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Primary Payer</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Freemium subscription</w:t>
            </w:r>
          </w:p>
        </w:tc>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Free tier: weather alerts, community feed, basic chat. Paid tier: image diagnostics, yield prediction, market timing.</w:t>
            </w:r>
          </w:p>
        </w:tc>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Individual farmers (paid tier)</w:t>
            </w:r>
          </w:p>
        </w:tc>
      </w:tr>
      <w:tr>
        <w:tc>
          <w:tcPr>
            <w:tcW w:type="dxa" w:w="26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B2B2C via cooperatives / agro-dealers</w:t>
            </w:r>
          </w:p>
        </w:tc>
        <w:tc>
          <w:tcPr>
            <w:tcW w:type="dxa" w:w="46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Bulk licensing so cooperatives distribute ShambaAI to member farmers at subsidized or zero cost.</w:t>
            </w:r>
          </w:p>
        </w:tc>
        <w:tc>
          <w:tcPr>
            <w:tcW w:type="dxa" w:w="21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Cooperatives, agro-dealer networks</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Data &amp; insights licensing</w:t>
            </w:r>
          </w:p>
        </w:tc>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Aggregated, anonymized regional yield, pest, and price trend data sold to agribusiness, insurers, and input suppliers.</w:t>
            </w:r>
          </w:p>
        </w:tc>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Agribusiness, insurers, input companies</w:t>
            </w:r>
          </w:p>
        </w:tc>
      </w:tr>
      <w:tr>
        <w:tc>
          <w:tcPr>
            <w:tcW w:type="dxa" w:w="26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Institutional / grant funding</w:t>
            </w:r>
          </w:p>
        </w:tc>
        <w:tc>
          <w:tcPr>
            <w:tcW w:type="dxa" w:w="46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Deployment contracts with NGOs, donors, and government extension programs for specific regions or crops.</w:t>
            </w:r>
          </w:p>
        </w:tc>
        <w:tc>
          <w:tcPr>
            <w:tcW w:type="dxa" w:w="21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NGOs, government, development funders</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Transaction facilitation (future)</w:t>
            </w:r>
          </w:p>
        </w:tc>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Commission on input purchases or produce sales referred through the platform.</w:t>
            </w:r>
          </w:p>
        </w:tc>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Agro-dealers, buyers</w:t>
            </w:r>
          </w:p>
        </w:tc>
      </w:tr>
    </w:tbl>
    <w:p>
      <w:pPr>
        <w:pBdr>
          <w:left w:val="single" w:color="B08D2B" w:sz="18" w:space="8"/>
        </w:pBdr>
        <w:shd w:fill="E8F5E9" w:val="clear"/>
        <w:spacing w:after="200" w:before="120"/>
        <w:ind w:left="360"/>
      </w:pPr>
      <w:r>
        <w:rPr>
          <w:rFonts w:ascii="Calibri" w:cs="Calibri" w:eastAsia="Calibri" w:hAnsi="Calibri"/>
          <w:b/>
          <w:bCs/>
          <w:color w:val="1B5E20"/>
          <w:sz w:val="20"/>
          <w:szCs w:val="20"/>
        </w:rPr>
        <w:t xml:space="preserve">Why this matters:  </w:t>
      </w:r>
      <w:r>
        <w:rPr>
          <w:rFonts w:ascii="Calibri" w:cs="Calibri" w:eastAsia="Calibri" w:hAnsi="Calibri"/>
          <w:i/>
          <w:iCs/>
          <w:color w:val="212121"/>
          <w:sz w:val="20"/>
          <w:szCs w:val="20"/>
        </w:rPr>
        <w:t xml:space="preserve">A pure B2C subscription model is unlikely to work at smallholder income levels on its own. Blending B2B2C distribution with institutional funding is what makes similar agtech platforms (e.g. Digital Green, Plantix) sustainable at scale.</w:t>
      </w:r>
    </w:p>
    <w:p>
      <w:pPr>
        <w:pStyle w:val="Heading2"/>
        <w:spacing w:after="160" w:before="320"/>
      </w:pPr>
      <w:r>
        <w:rPr>
          <w:rFonts w:ascii="Calibri" w:cs="Calibri" w:eastAsia="Calibri" w:hAnsi="Calibri"/>
          <w:b/>
          <w:bCs/>
          <w:color w:val="2E7D32"/>
          <w:sz w:val="26"/>
          <w:szCs w:val="26"/>
        </w:rPr>
        <w:t xml:space="preserve">1.2  Indicative Pricing Tiers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00"/>
      </w:tblGrid>
      <w:tr>
        <w:trPr>
          <w:tblHeader/>
        </w:trPr>
        <w:tc>
          <w:tcPr>
            <w:tcW w:type="dxa" w:w="26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Tier</w:t>
            </w:r>
          </w:p>
        </w:tc>
        <w:tc>
          <w:tcPr>
            <w:tcW w:type="dxa" w:w="32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Price Point (indicative)</w:t>
            </w:r>
          </w:p>
        </w:tc>
        <w:tc>
          <w:tcPr>
            <w:tcW w:type="dxa" w:w="35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Includes</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Free</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$0</w:t>
            </w:r>
          </w:p>
        </w:tc>
        <w:tc>
          <w:tcPr>
            <w:tcW w:type="dxa" w:w="3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Weather alerts, community pest/disease alerts, basic crop guide</w:t>
            </w:r>
          </w:p>
        </w:tc>
      </w:tr>
      <w:tr>
        <w:tc>
          <w:tcPr>
            <w:tcW w:type="dxa" w:w="26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Farmer Plus</w:t>
            </w:r>
          </w:p>
        </w:tc>
        <w:tc>
          <w:tcPr>
            <w:tcW w:type="dxa" w:w="32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Low monthly fee or per-scan micro-fee</w:t>
            </w:r>
          </w:p>
        </w:tc>
        <w:tc>
          <w:tcPr>
            <w:tcW w:type="dxa" w:w="35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AI image diagnostics, personalized advisory chat, market price alerts</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Cooperative / Agro-dealer</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Per-member annual license</w:t>
            </w:r>
          </w:p>
        </w:tc>
        <w:tc>
          <w:tcPr>
            <w:tcW w:type="dxa" w:w="3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Bulk farmer onboarding, aggregated dashboard, co-branded advisory</w:t>
            </w:r>
          </w:p>
        </w:tc>
      </w:tr>
      <w:tr>
        <w:tc>
          <w:tcPr>
            <w:tcW w:type="dxa" w:w="26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Enterprise / Institutional</w:t>
            </w:r>
          </w:p>
        </w:tc>
        <w:tc>
          <w:tcPr>
            <w:tcW w:type="dxa" w:w="32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Custom contract</w:t>
            </w:r>
          </w:p>
        </w:tc>
        <w:tc>
          <w:tcPr>
            <w:tcW w:type="dxa" w:w="35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Regional deployment, data API access, custom reporting for NGOs/government</w:t>
            </w:r>
          </w:p>
        </w:tc>
      </w:tr>
    </w:tbl>
    <w:p>
      <w:pPr>
        <w:spacing w:after="100"/>
      </w:pPr>
    </w:p>
    <w:p>
      <w:pPr>
        <w:pStyle w:val="Heading1"/>
        <w:pBdr>
          <w:bottom w:val="single" w:color="4CAF50" w:sz="12" w:space="4"/>
        </w:pBdr>
        <w:spacing w:after="240" w:before="480"/>
      </w:pPr>
      <w:r>
        <w:rPr>
          <w:rFonts w:ascii="Calibri" w:cs="Calibri" w:eastAsia="Calibri" w:hAnsi="Calibri"/>
          <w:b/>
          <w:bCs/>
          <w:color w:val="B08D2B"/>
          <w:sz w:val="32"/>
          <w:szCs w:val="32"/>
        </w:rPr>
        <w:t xml:space="preserve">2  </w:t>
      </w:r>
      <w:r>
        <w:rPr>
          <w:rFonts w:ascii="Calibri" w:cs="Calibri" w:eastAsia="Calibri" w:hAnsi="Calibri"/>
          <w:b/>
          <w:bCs/>
          <w:color w:val="1B5E20"/>
          <w:sz w:val="32"/>
          <w:szCs w:val="32"/>
        </w:rPr>
        <w:t xml:space="preserve">Go-to-Market &amp; Pilot Strategy</w:t>
      </w:r>
    </w:p>
    <w:p>
      <w:pPr>
        <w:pStyle w:val="Heading2"/>
        <w:spacing w:after="160" w:before="320"/>
      </w:pPr>
      <w:r>
        <w:rPr>
          <w:rFonts w:ascii="Calibri" w:cs="Calibri" w:eastAsia="Calibri" w:hAnsi="Calibri"/>
          <w:b/>
          <w:bCs/>
          <w:color w:val="2E7D32"/>
          <w:sz w:val="26"/>
          <w:szCs w:val="26"/>
        </w:rPr>
        <w:t xml:space="preserve">2.1  Why Start Narrow</w:t>
      </w:r>
    </w:p>
    <w:p>
      <w:pPr>
        <w:spacing w:after="160" w:line="276"/>
      </w:pPr>
      <w:r>
        <w:rPr>
          <w:rFonts w:ascii="Calibri" w:cs="Calibri" w:eastAsia="Calibri" w:hAnsi="Calibri"/>
          <w:color w:val="212121"/>
          <w:sz w:val="22"/>
          <w:szCs w:val="22"/>
        </w:rPr>
        <w:t xml:space="preserve">The SRD's scope ("smallholder and commercial farmers") is intentionally broad for the vision statement, but execution requires a tightly scoped pilot to validate model accuracy, adoption behavior, and unit economics before expanding.</w:t>
      </w:r>
    </w:p>
    <w:p>
      <w:pPr>
        <w:pStyle w:val="Heading2"/>
        <w:spacing w:after="160" w:before="320"/>
      </w:pPr>
      <w:r>
        <w:rPr>
          <w:rFonts w:ascii="Calibri" w:cs="Calibri" w:eastAsia="Calibri" w:hAnsi="Calibri"/>
          <w:b/>
          <w:bCs/>
          <w:color w:val="2E7D32"/>
          <w:sz w:val="26"/>
          <w:szCs w:val="26"/>
        </w:rPr>
        <w:t xml:space="preserve">2.2  Recommended Pilot Definition</w:t>
      </w:r>
    </w:p>
    <w:p>
      <w:pPr>
        <w:pStyle w:val="ListParagraph"/>
        <w:numPr>
          <w:ilvl w:val="0"/>
          <w:numId w:val="2"/>
        </w:numPr>
        <w:spacing w:after="80"/>
      </w:pPr>
      <w:r>
        <w:rPr>
          <w:rFonts w:ascii="Calibri" w:cs="Calibri" w:eastAsia="Calibri" w:hAnsi="Calibri"/>
          <w:color w:val="212121"/>
          <w:sz w:val="22"/>
          <w:szCs w:val="22"/>
        </w:rPr>
        <w:t xml:space="preserve">Single country / region with reliable local partner (cooperative, NGO, or extension office)</w:t>
      </w:r>
    </w:p>
    <w:p>
      <w:pPr>
        <w:pStyle w:val="ListParagraph"/>
        <w:numPr>
          <w:ilvl w:val="0"/>
          <w:numId w:val="2"/>
        </w:numPr>
        <w:spacing w:after="80"/>
      </w:pPr>
      <w:r>
        <w:rPr>
          <w:rFonts w:ascii="Calibri" w:cs="Calibri" w:eastAsia="Calibri" w:hAnsi="Calibri"/>
          <w:color w:val="212121"/>
          <w:sz w:val="22"/>
          <w:szCs w:val="22"/>
        </w:rPr>
        <w:t xml:space="preserve">One to two priority crops with high economic importance and well-documented disease/pest patterns (e.g. maize, tomato)</w:t>
      </w:r>
    </w:p>
    <w:p>
      <w:pPr>
        <w:pStyle w:val="ListParagraph"/>
        <w:numPr>
          <w:ilvl w:val="0"/>
          <w:numId w:val="2"/>
        </w:numPr>
        <w:spacing w:after="80"/>
      </w:pPr>
      <w:r>
        <w:rPr>
          <w:rFonts w:ascii="Calibri" w:cs="Calibri" w:eastAsia="Calibri" w:hAnsi="Calibri"/>
          <w:color w:val="212121"/>
          <w:sz w:val="22"/>
          <w:szCs w:val="22"/>
        </w:rPr>
        <w:t xml:space="preserve">Target cohort: 200–1,000 farmers for the initial pilot</w:t>
      </w:r>
    </w:p>
    <w:p>
      <w:pPr>
        <w:pStyle w:val="ListParagraph"/>
        <w:numPr>
          <w:ilvl w:val="0"/>
          <w:numId w:val="2"/>
        </w:numPr>
        <w:spacing w:after="80"/>
      </w:pPr>
      <w:r>
        <w:rPr>
          <w:rFonts w:ascii="Calibri" w:cs="Calibri" w:eastAsia="Calibri" w:hAnsi="Calibri"/>
          <w:color w:val="212121"/>
          <w:sz w:val="22"/>
          <w:szCs w:val="22"/>
        </w:rPr>
        <w:t xml:space="preserve">Duration: one full growing season minimum, to capture the plant-to-harvest cycle</w:t>
      </w:r>
    </w:p>
    <w:p>
      <w:pPr>
        <w:pStyle w:val="Heading2"/>
        <w:spacing w:after="160" w:before="320"/>
      </w:pPr>
      <w:r>
        <w:rPr>
          <w:rFonts w:ascii="Calibri" w:cs="Calibri" w:eastAsia="Calibri" w:hAnsi="Calibri"/>
          <w:b/>
          <w:bCs/>
          <w:color w:val="2E7D32"/>
          <w:sz w:val="26"/>
          <w:szCs w:val="26"/>
        </w:rPr>
        <w:t xml:space="preserve">2.3  Phased Expansion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3200"/>
      </w:tblGrid>
      <w:tr>
        <w:trPr>
          <w:tblHeader/>
        </w:trPr>
        <w:tc>
          <w:tcPr>
            <w:tcW w:type="dxa" w:w="24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Phase</w:t>
            </w:r>
          </w:p>
        </w:tc>
        <w:tc>
          <w:tcPr>
            <w:tcW w:type="dxa" w:w="43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Focus</w:t>
            </w:r>
          </w:p>
        </w:tc>
        <w:tc>
          <w:tcPr>
            <w:tcW w:type="dxa" w:w="32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Milestone Gate</w:t>
            </w:r>
          </w:p>
        </w:tc>
      </w:tr>
      <w:tr>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Phase 0 — Pilot</w:t>
            </w:r>
          </w:p>
        </w:tc>
        <w:tc>
          <w:tcPr>
            <w:tcW w:type="dxa" w:w="4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1 region, 1–2 crops, manual-heavy human review of AI outputs</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Diagnostic accuracy and farmer retention thresholds met</w:t>
            </w:r>
          </w:p>
        </w:tc>
      </w:tr>
      <w:tr>
        <w:tc>
          <w:tcPr>
            <w:tcW w:type="dxa" w:w="24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Phase 1 — Regional scale</w:t>
            </w:r>
          </w:p>
        </w:tc>
        <w:tc>
          <w:tcPr>
            <w:tcW w:type="dxa" w:w="43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Expand within country via cooperative partnerships</w:t>
            </w:r>
          </w:p>
        </w:tc>
        <w:tc>
          <w:tcPr>
            <w:tcW w:type="dxa" w:w="32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Positive unit economics per cooperative deployment</w:t>
            </w:r>
          </w:p>
        </w:tc>
      </w:tr>
      <w:tr>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Phase 2 — Multi-country</w:t>
            </w:r>
          </w:p>
        </w:tc>
        <w:tc>
          <w:tcPr>
            <w:tcW w:type="dxa" w:w="4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Replicate model with localized crop/language data</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Repeatable onboarding playbook validated</w:t>
            </w:r>
          </w:p>
        </w:tc>
      </w:tr>
      <w:tr>
        <w:tc>
          <w:tcPr>
            <w:tcW w:type="dxa" w:w="24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Phase 3 — Platform</w:t>
            </w:r>
          </w:p>
        </w:tc>
        <w:tc>
          <w:tcPr>
            <w:tcW w:type="dxa" w:w="43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Open data/API layer for agribusiness and insurance partners</w:t>
            </w:r>
          </w:p>
        </w:tc>
        <w:tc>
          <w:tcPr>
            <w:tcW w:type="dxa" w:w="32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Institutional revenue exceeds subsidy dependency</w:t>
            </w:r>
          </w:p>
        </w:tc>
      </w:tr>
    </w:tbl>
    <w:p>
      <w:pPr>
        <w:spacing w:after="100"/>
      </w:pPr>
    </w:p>
    <w:p>
      <w:pPr>
        <w:pStyle w:val="Heading1"/>
        <w:pBdr>
          <w:bottom w:val="single" w:color="4CAF50" w:sz="12" w:space="4"/>
        </w:pBdr>
        <w:spacing w:after="240" w:before="480"/>
      </w:pPr>
      <w:r>
        <w:rPr>
          <w:rFonts w:ascii="Calibri" w:cs="Calibri" w:eastAsia="Calibri" w:hAnsi="Calibri"/>
          <w:b/>
          <w:bCs/>
          <w:color w:val="B08D2B"/>
          <w:sz w:val="32"/>
          <w:szCs w:val="32"/>
        </w:rPr>
        <w:t xml:space="preserve">3  </w:t>
      </w:r>
      <w:r>
        <w:rPr>
          <w:rFonts w:ascii="Calibri" w:cs="Calibri" w:eastAsia="Calibri" w:hAnsi="Calibri"/>
          <w:b/>
          <w:bCs/>
          <w:color w:val="1B5E20"/>
          <w:sz w:val="32"/>
          <w:szCs w:val="32"/>
        </w:rPr>
        <w:t xml:space="preserve">Data Acquisition Strategy</w:t>
      </w:r>
    </w:p>
    <w:p>
      <w:pPr>
        <w:spacing w:after="160" w:line="276"/>
      </w:pPr>
      <w:r>
        <w:rPr>
          <w:rFonts w:ascii="Calibri" w:cs="Calibri" w:eastAsia="Calibri" w:hAnsi="Calibri"/>
          <w:color w:val="212121"/>
          <w:sz w:val="22"/>
          <w:szCs w:val="22"/>
        </w:rPr>
        <w:t xml:space="preserve">The accuracy of the AI Crop Intelligence module depends entirely on the quality and local relevance of training data. This is likely the single largest technical risk in the project and deserves an explicit strategy.</w:t>
      </w:r>
    </w:p>
    <w:p>
      <w:pPr>
        <w:pStyle w:val="Heading2"/>
        <w:spacing w:after="160" w:before="320"/>
      </w:pPr>
      <w:r>
        <w:rPr>
          <w:rFonts w:ascii="Calibri" w:cs="Calibri" w:eastAsia="Calibri" w:hAnsi="Calibri"/>
          <w:b/>
          <w:bCs/>
          <w:color w:val="2E7D32"/>
          <w:sz w:val="26"/>
          <w:szCs w:val="26"/>
        </w:rPr>
        <w:t xml:space="preserve">3.1  Approach</w:t>
      </w:r>
    </w:p>
    <w:p>
      <w:pPr>
        <w:pStyle w:val="ListParagraph"/>
        <w:numPr>
          <w:ilvl w:val="0"/>
          <w:numId w:val="2"/>
        </w:numPr>
        <w:spacing w:after="80"/>
      </w:pPr>
      <w:r>
        <w:rPr>
          <w:rFonts w:ascii="Calibri" w:cs="Calibri" w:eastAsia="Calibri" w:hAnsi="Calibri"/>
          <w:color w:val="212121"/>
          <w:sz w:val="22"/>
          <w:szCs w:val="22"/>
        </w:rPr>
        <w:t xml:space="preserve">Bootstrap with public agricultural image datasets (e.g. PlantVillage-style sources) for baseline model capability</w:t>
      </w:r>
    </w:p>
    <w:p>
      <w:pPr>
        <w:pStyle w:val="ListParagraph"/>
        <w:numPr>
          <w:ilvl w:val="0"/>
          <w:numId w:val="2"/>
        </w:numPr>
        <w:spacing w:after="80"/>
      </w:pPr>
      <w:r>
        <w:rPr>
          <w:rFonts w:ascii="Calibri" w:cs="Calibri" w:eastAsia="Calibri" w:hAnsi="Calibri"/>
          <w:color w:val="212121"/>
          <w:sz w:val="22"/>
          <w:szCs w:val="22"/>
        </w:rPr>
        <w:t xml:space="preserve">Fine-tune on locally collected, field-verified images specific to the pilot region's crops, disease strains, and growing conditions</w:t>
      </w:r>
    </w:p>
    <w:p>
      <w:pPr>
        <w:pStyle w:val="ListParagraph"/>
        <w:numPr>
          <w:ilvl w:val="0"/>
          <w:numId w:val="2"/>
        </w:numPr>
        <w:spacing w:after="80"/>
      </w:pPr>
      <w:r>
        <w:rPr>
          <w:rFonts w:ascii="Calibri" w:cs="Calibri" w:eastAsia="Calibri" w:hAnsi="Calibri"/>
          <w:color w:val="212121"/>
          <w:sz w:val="22"/>
          <w:szCs w:val="22"/>
        </w:rPr>
        <w:t xml:space="preserve">Partner with agricultural research institutes and extension officers to label images accurately</w:t>
      </w:r>
    </w:p>
    <w:p>
      <w:pPr>
        <w:pStyle w:val="ListParagraph"/>
        <w:numPr>
          <w:ilvl w:val="0"/>
          <w:numId w:val="2"/>
        </w:numPr>
        <w:spacing w:after="80"/>
      </w:pPr>
      <w:r>
        <w:rPr>
          <w:rFonts w:ascii="Calibri" w:cs="Calibri" w:eastAsia="Calibri" w:hAnsi="Calibri"/>
          <w:color w:val="212121"/>
          <w:sz w:val="22"/>
          <w:szCs w:val="22"/>
        </w:rPr>
        <w:t xml:space="preserve">Build an active-learning feedback loop: low-confidence predictions are routed to human experts, and verified results feed back into model retraining</w:t>
      </w:r>
    </w:p>
    <w:p>
      <w:pPr>
        <w:pBdr>
          <w:left w:val="single" w:color="B3261E" w:sz="18" w:space="8"/>
        </w:pBdr>
        <w:spacing w:after="200" w:before="100"/>
        <w:ind w:left="360"/>
      </w:pPr>
      <w:r>
        <w:rPr>
          <w:rFonts w:ascii="Calibri" w:cs="Calibri" w:eastAsia="Calibri" w:hAnsi="Calibri"/>
          <w:b/>
          <w:bCs/>
          <w:color w:val="B3261E"/>
          <w:sz w:val="20"/>
          <w:szCs w:val="20"/>
        </w:rPr>
        <w:t xml:space="preserve">Risk:  </w:t>
      </w:r>
      <w:r>
        <w:rPr>
          <w:rFonts w:ascii="Calibri" w:cs="Calibri" w:eastAsia="Calibri" w:hAnsi="Calibri"/>
          <w:i/>
          <w:iCs/>
          <w:color w:val="212121"/>
          <w:sz w:val="20"/>
          <w:szCs w:val="20"/>
        </w:rPr>
        <w:t xml:space="preserve">Public datasets are disproportionately sourced from temperate, commercial-scale farming contexts and often underperform on local smallholder conditions, intercropping patterns, and region-specific disease strains. Budget and timeline should assume a dedicated local data collection phase, not just an integration of existing datasets.</w:t>
      </w:r>
    </w:p>
    <w:p>
      <w:pPr>
        <w:spacing w:after="100"/>
      </w:pPr>
    </w:p>
    <w:p>
      <w:pPr>
        <w:pStyle w:val="Heading1"/>
        <w:pBdr>
          <w:bottom w:val="single" w:color="4CAF50" w:sz="12" w:space="4"/>
        </w:pBdr>
        <w:spacing w:after="240" w:before="480"/>
      </w:pPr>
      <w:r>
        <w:rPr>
          <w:rFonts w:ascii="Calibri" w:cs="Calibri" w:eastAsia="Calibri" w:hAnsi="Calibri"/>
          <w:b/>
          <w:bCs/>
          <w:color w:val="B08D2B"/>
          <w:sz w:val="32"/>
          <w:szCs w:val="32"/>
        </w:rPr>
        <w:t xml:space="preserve">4  </w:t>
      </w:r>
      <w:r>
        <w:rPr>
          <w:rFonts w:ascii="Calibri" w:cs="Calibri" w:eastAsia="Calibri" w:hAnsi="Calibri"/>
          <w:b/>
          <w:bCs/>
          <w:color w:val="1B5E20"/>
          <w:sz w:val="32"/>
          <w:szCs w:val="32"/>
        </w:rPr>
        <w:t xml:space="preserve">Connectivity &amp; Offline-First Design</w:t>
      </w:r>
    </w:p>
    <w:p>
      <w:pPr>
        <w:spacing w:after="160" w:line="276"/>
      </w:pPr>
      <w:r>
        <w:rPr>
          <w:rFonts w:ascii="Calibri" w:cs="Calibri" w:eastAsia="Calibri" w:hAnsi="Calibri"/>
          <w:color w:val="212121"/>
          <w:sz w:val="22"/>
          <w:szCs w:val="22"/>
        </w:rPr>
        <w:t xml:space="preserve">The SRD lists "offline capability" as a non-functional requirement, but the core AI features (image inference, LLM chat) are inherently cloud-dependent as currently scoped. This needs explicit resolution.</w:t>
      </w:r>
    </w:p>
    <w:p>
      <w:pPr>
        <w:pStyle w:val="Heading2"/>
        <w:spacing w:after="160" w:before="320"/>
      </w:pPr>
      <w:r>
        <w:rPr>
          <w:rFonts w:ascii="Calibri" w:cs="Calibri" w:eastAsia="Calibri" w:hAnsi="Calibri"/>
          <w:b/>
          <w:bCs/>
          <w:color w:val="2E7D32"/>
          <w:sz w:val="26"/>
          <w:szCs w:val="26"/>
        </w:rPr>
        <w:t xml:space="preserve">4.1  Recommended Design</w:t>
      </w:r>
    </w:p>
    <w:p>
      <w:pPr>
        <w:pStyle w:val="ListParagraph"/>
        <w:numPr>
          <w:ilvl w:val="0"/>
          <w:numId w:val="2"/>
        </w:numPr>
        <w:spacing w:after="80"/>
      </w:pPr>
      <w:r>
        <w:rPr>
          <w:rFonts w:ascii="Calibri" w:cs="Calibri" w:eastAsia="Calibri" w:hAnsi="Calibri"/>
          <w:color w:val="212121"/>
          <w:sz w:val="22"/>
          <w:szCs w:val="22"/>
        </w:rPr>
        <w:t xml:space="preserve">Lightweight, quantized on-device models for common disease/pest classes, with cloud fallback for rare or ambiguous cases</w:t>
      </w:r>
    </w:p>
    <w:p>
      <w:pPr>
        <w:pStyle w:val="ListParagraph"/>
        <w:numPr>
          <w:ilvl w:val="0"/>
          <w:numId w:val="2"/>
        </w:numPr>
        <w:spacing w:after="80"/>
      </w:pPr>
      <w:r>
        <w:rPr>
          <w:rFonts w:ascii="Calibri" w:cs="Calibri" w:eastAsia="Calibri" w:hAnsi="Calibri"/>
          <w:color w:val="212121"/>
          <w:sz w:val="22"/>
          <w:szCs w:val="22"/>
        </w:rPr>
        <w:t xml:space="preserve">SMS / USSD advisory channel as a parallel low-bandwidth interface — a proven pattern in African agtech for reaching farmers without smartphones or reliable data</w:t>
      </w:r>
    </w:p>
    <w:p>
      <w:pPr>
        <w:pStyle w:val="ListParagraph"/>
        <w:numPr>
          <w:ilvl w:val="0"/>
          <w:numId w:val="2"/>
        </w:numPr>
        <w:spacing w:after="80"/>
      </w:pPr>
      <w:r>
        <w:rPr>
          <w:rFonts w:ascii="Calibri" w:cs="Calibri" w:eastAsia="Calibri" w:hAnsi="Calibri"/>
          <w:color w:val="212121"/>
          <w:sz w:val="22"/>
          <w:szCs w:val="22"/>
        </w:rPr>
        <w:t xml:space="preserve">Store-and-forward sync: images and queries queue locally and resolve once connectivity is available</w:t>
      </w:r>
    </w:p>
    <w:p>
      <w:pPr>
        <w:pStyle w:val="ListParagraph"/>
        <w:numPr>
          <w:ilvl w:val="0"/>
          <w:numId w:val="2"/>
        </w:numPr>
        <w:spacing w:after="80"/>
      </w:pPr>
      <w:r>
        <w:rPr>
          <w:rFonts w:ascii="Calibri" w:cs="Calibri" w:eastAsia="Calibri" w:hAnsi="Calibri"/>
          <w:color w:val="212121"/>
          <w:sz w:val="22"/>
          <w:szCs w:val="22"/>
        </w:rPr>
        <w:t xml:space="preserve">Partnership with local telcos for zero-rated or subsidized data access to the app</w:t>
      </w:r>
    </w:p>
    <w:p>
      <w:pPr>
        <w:spacing w:after="100"/>
      </w:pPr>
    </w:p>
    <w:p>
      <w:pPr>
        <w:pStyle w:val="Heading1"/>
        <w:pBdr>
          <w:bottom w:val="single" w:color="4CAF50" w:sz="12" w:space="4"/>
        </w:pBdr>
        <w:spacing w:after="240" w:before="480"/>
      </w:pPr>
      <w:r>
        <w:rPr>
          <w:rFonts w:ascii="Calibri" w:cs="Calibri" w:eastAsia="Calibri" w:hAnsi="Calibri"/>
          <w:b/>
          <w:bCs/>
          <w:color w:val="B08D2B"/>
          <w:sz w:val="32"/>
          <w:szCs w:val="32"/>
        </w:rPr>
        <w:t xml:space="preserve">5  </w:t>
      </w:r>
      <w:r>
        <w:rPr>
          <w:rFonts w:ascii="Calibri" w:cs="Calibri" w:eastAsia="Calibri" w:hAnsi="Calibri"/>
          <w:b/>
          <w:bCs/>
          <w:color w:val="1B5E20"/>
          <w:sz w:val="32"/>
          <w:szCs w:val="32"/>
        </w:rPr>
        <w:t xml:space="preserve">Trust &amp; Adoption Strategy</w:t>
      </w:r>
    </w:p>
    <w:p>
      <w:pPr>
        <w:spacing w:after="160" w:line="276"/>
      </w:pPr>
      <w:r>
        <w:rPr>
          <w:rFonts w:ascii="Calibri" w:cs="Calibri" w:eastAsia="Calibri" w:hAnsi="Calibri"/>
          <w:color w:val="212121"/>
          <w:sz w:val="22"/>
          <w:szCs w:val="22"/>
        </w:rPr>
        <w:t xml:space="preserve">Agtech adoption historically fails more often on trust and behavior change than on technology. ShambaAI needs an explicit adoption strategy, not just a feature list.</w:t>
      </w:r>
    </w:p>
    <w:p>
      <w:pPr>
        <w:pStyle w:val="ListParagraph"/>
        <w:numPr>
          <w:ilvl w:val="0"/>
          <w:numId w:val="2"/>
        </w:numPr>
        <w:spacing w:after="80"/>
      </w:pPr>
      <w:r>
        <w:rPr>
          <w:rFonts w:ascii="Calibri" w:cs="Calibri" w:eastAsia="Calibri" w:hAnsi="Calibri"/>
          <w:color w:val="212121"/>
          <w:sz w:val="22"/>
          <w:szCs w:val="22"/>
        </w:rPr>
        <w:t xml:space="preserve">Local language support from the pilot stage, not deferred to "future" — language is often the single biggest adoption barrier</w:t>
      </w:r>
    </w:p>
    <w:p>
      <w:pPr>
        <w:pStyle w:val="ListParagraph"/>
        <w:numPr>
          <w:ilvl w:val="0"/>
          <w:numId w:val="2"/>
        </w:numPr>
        <w:spacing w:after="80"/>
      </w:pPr>
      <w:r>
        <w:rPr>
          <w:rFonts w:ascii="Calibri" w:cs="Calibri" w:eastAsia="Calibri" w:hAnsi="Calibri"/>
          <w:color w:val="212121"/>
          <w:sz w:val="22"/>
          <w:szCs w:val="22"/>
        </w:rPr>
        <w:t xml:space="preserve">Human-in-the-loop validation: local agricultural extension officers co-sign or review AI recommendations during the trust-building phase</w:t>
      </w:r>
    </w:p>
    <w:p>
      <w:pPr>
        <w:pStyle w:val="ListParagraph"/>
        <w:numPr>
          <w:ilvl w:val="0"/>
          <w:numId w:val="2"/>
        </w:numPr>
        <w:spacing w:after="80"/>
      </w:pPr>
      <w:r>
        <w:rPr>
          <w:rFonts w:ascii="Calibri" w:cs="Calibri" w:eastAsia="Calibri" w:hAnsi="Calibri"/>
          <w:color w:val="212121"/>
          <w:sz w:val="22"/>
          <w:szCs w:val="22"/>
        </w:rPr>
        <w:t xml:space="preserve">Visible, season-over-season proof points (yield or savings data) shared back with farmer cohorts to build credibility</w:t>
      </w:r>
    </w:p>
    <w:p>
      <w:pPr>
        <w:pStyle w:val="ListParagraph"/>
        <w:numPr>
          <w:ilvl w:val="0"/>
          <w:numId w:val="2"/>
        </w:numPr>
        <w:spacing w:after="80"/>
      </w:pPr>
      <w:r>
        <w:rPr>
          <w:rFonts w:ascii="Calibri" w:cs="Calibri" w:eastAsia="Calibri" w:hAnsi="Calibri"/>
          <w:color w:val="212121"/>
          <w:sz w:val="22"/>
          <w:szCs w:val="22"/>
        </w:rPr>
        <w:t xml:space="preserve">Distribution through already-trusted intermediaries (cooperatives, agro-dealers, extension officers) rather than cold app-store acquisition</w:t>
      </w:r>
    </w:p>
    <w:p>
      <w:pPr>
        <w:spacing w:after="100"/>
      </w:pPr>
    </w:p>
    <w:p>
      <w:pPr>
        <w:pStyle w:val="Heading1"/>
        <w:pBdr>
          <w:bottom w:val="single" w:color="4CAF50" w:sz="12" w:space="4"/>
        </w:pBdr>
        <w:spacing w:after="240" w:before="480"/>
      </w:pPr>
      <w:r>
        <w:rPr>
          <w:rFonts w:ascii="Calibri" w:cs="Calibri" w:eastAsia="Calibri" w:hAnsi="Calibri"/>
          <w:b/>
          <w:bCs/>
          <w:color w:val="B08D2B"/>
          <w:sz w:val="32"/>
          <w:szCs w:val="32"/>
        </w:rPr>
        <w:t xml:space="preserve">6  </w:t>
      </w:r>
      <w:r>
        <w:rPr>
          <w:rFonts w:ascii="Calibri" w:cs="Calibri" w:eastAsia="Calibri" w:hAnsi="Calibri"/>
          <w:b/>
          <w:bCs/>
          <w:color w:val="1B5E20"/>
          <w:sz w:val="32"/>
          <w:szCs w:val="32"/>
        </w:rPr>
        <w:t xml:space="preserve">Liability, Accuracy &amp; Risk Management</w:t>
      </w:r>
    </w:p>
    <w:p>
      <w:pPr>
        <w:spacing w:after="160" w:line="276"/>
      </w:pPr>
      <w:r>
        <w:rPr>
          <w:rFonts w:ascii="Calibri" w:cs="Calibri" w:eastAsia="Calibri" w:hAnsi="Calibri"/>
          <w:color w:val="212121"/>
          <w:sz w:val="22"/>
          <w:szCs w:val="22"/>
        </w:rPr>
        <w:t xml:space="preserve">If a farmer acts on incorrect AI advice and suffers crop loss, the platform carries reputational, ethical, and potentially legal exposure. This should be designed for explicitly rather than addressed after an incident.</w:t>
      </w:r>
    </w:p>
    <w:p>
      <w:pPr>
        <w:pStyle w:val="ListParagraph"/>
        <w:numPr>
          <w:ilvl w:val="0"/>
          <w:numId w:val="2"/>
        </w:numPr>
        <w:spacing w:after="80"/>
      </w:pPr>
      <w:r>
        <w:rPr>
          <w:rFonts w:ascii="Calibri" w:cs="Calibri" w:eastAsia="Calibri" w:hAnsi="Calibri"/>
          <w:color w:val="212121"/>
          <w:sz w:val="22"/>
          <w:szCs w:val="22"/>
        </w:rPr>
        <w:t xml:space="preserve">Confidence-threshold routing: low-confidence AI diagnoses are flagged for human expert review rather than presented as certain</w:t>
      </w:r>
    </w:p>
    <w:p>
      <w:pPr>
        <w:pStyle w:val="ListParagraph"/>
        <w:numPr>
          <w:ilvl w:val="0"/>
          <w:numId w:val="2"/>
        </w:numPr>
        <w:spacing w:after="80"/>
      </w:pPr>
      <w:r>
        <w:rPr>
          <w:rFonts w:ascii="Calibri" w:cs="Calibri" w:eastAsia="Calibri" w:hAnsi="Calibri"/>
          <w:color w:val="212121"/>
          <w:sz w:val="22"/>
          <w:szCs w:val="22"/>
        </w:rPr>
        <w:t xml:space="preserve">Clear in-app disclaimers on the advisory (not prescriptive) nature of AI recommendations</w:t>
      </w:r>
    </w:p>
    <w:p>
      <w:pPr>
        <w:pStyle w:val="ListParagraph"/>
        <w:numPr>
          <w:ilvl w:val="0"/>
          <w:numId w:val="2"/>
        </w:numPr>
        <w:spacing w:after="80"/>
      </w:pPr>
      <w:r>
        <w:rPr>
          <w:rFonts w:ascii="Calibri" w:cs="Calibri" w:eastAsia="Calibri" w:hAnsi="Calibri"/>
          <w:color w:val="212121"/>
          <w:sz w:val="22"/>
          <w:szCs w:val="22"/>
        </w:rPr>
        <w:t xml:space="preserve">Escalation pathway to human agronomists for high-stakes decisions (e.g. large-scale pesticide application)</w:t>
      </w:r>
    </w:p>
    <w:p>
      <w:pPr>
        <w:pStyle w:val="ListParagraph"/>
        <w:numPr>
          <w:ilvl w:val="0"/>
          <w:numId w:val="2"/>
        </w:numPr>
        <w:spacing w:after="80"/>
      </w:pPr>
      <w:r>
        <w:rPr>
          <w:rFonts w:ascii="Calibri" w:cs="Calibri" w:eastAsia="Calibri" w:hAnsi="Calibri"/>
          <w:color w:val="212121"/>
          <w:sz w:val="22"/>
          <w:szCs w:val="22"/>
        </w:rPr>
        <w:t xml:space="preserve">Legal review of liability terms before commercial launch, particularly in jurisdictions with consumer protection statutes covering agricultural advisory services</w:t>
      </w:r>
    </w:p>
    <w:p>
      <w:pPr>
        <w:spacing w:after="100"/>
      </w:pPr>
    </w:p>
    <w:p>
      <w:pPr>
        <w:pStyle w:val="Heading1"/>
        <w:pBdr>
          <w:bottom w:val="single" w:color="4CAF50" w:sz="12" w:space="4"/>
        </w:pBdr>
        <w:spacing w:after="240" w:before="480"/>
      </w:pPr>
      <w:r>
        <w:rPr>
          <w:rFonts w:ascii="Calibri" w:cs="Calibri" w:eastAsia="Calibri" w:hAnsi="Calibri"/>
          <w:b/>
          <w:bCs/>
          <w:color w:val="B08D2B"/>
          <w:sz w:val="32"/>
          <w:szCs w:val="32"/>
        </w:rPr>
        <w:t xml:space="preserve">7  </w:t>
      </w:r>
      <w:r>
        <w:rPr>
          <w:rFonts w:ascii="Calibri" w:cs="Calibri" w:eastAsia="Calibri" w:hAnsi="Calibri"/>
          <w:b/>
          <w:bCs/>
          <w:color w:val="1B5E20"/>
          <w:sz w:val="32"/>
          <w:szCs w:val="32"/>
        </w:rPr>
        <w:t xml:space="preserve">Unit Economics &amp; Cost Model</w:t>
      </w:r>
    </w:p>
    <w:p>
      <w:pPr>
        <w:spacing w:after="160" w:line="276"/>
      </w:pPr>
      <w:r>
        <w:rPr>
          <w:rFonts w:ascii="Calibri" w:cs="Calibri" w:eastAsia="Calibri" w:hAnsi="Calibri"/>
          <w:color w:val="212121"/>
          <w:sz w:val="22"/>
          <w:szCs w:val="22"/>
        </w:rPr>
        <w:t xml:space="preserve">At the NFR target of scaling to millions of farmers, AI inference costs (vision model calls, LLM chat) become a first-order cost driver relative to a low-ARPU user base.</w:t>
      </w:r>
    </w:p>
    <w:p>
      <w:pPr>
        <w:pStyle w:val="Heading2"/>
        <w:spacing w:after="160" w:before="320"/>
      </w:pPr>
      <w:r>
        <w:rPr>
          <w:rFonts w:ascii="Calibri" w:cs="Calibri" w:eastAsia="Calibri" w:hAnsi="Calibri"/>
          <w:b/>
          <w:bCs/>
          <w:color w:val="2E7D32"/>
          <w:sz w:val="26"/>
          <w:szCs w:val="26"/>
        </w:rPr>
        <w:t xml:space="preserve">7.1  Key Cost Levers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700"/>
        <w:gridCol w:w="6100"/>
      </w:tblGrid>
      <w:tr>
        <w:trPr>
          <w:tblHeader/>
        </w:trPr>
        <w:tc>
          <w:tcPr>
            <w:tcW w:type="dxa" w:w="27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Lever</w:t>
            </w:r>
          </w:p>
        </w:tc>
        <w:tc>
          <w:tcPr>
            <w:tcW w:type="dxa" w:w="61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Consideration</w:t>
            </w:r>
          </w:p>
        </w:tc>
      </w:tr>
      <w:tr>
        <w:tc>
          <w:tcPr>
            <w:tcW w:type="dxa" w:w="2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Model tiering</w:t>
            </w:r>
          </w:p>
        </w:tc>
        <w:tc>
          <w:tcPr>
            <w:tcW w:type="dxa" w:w="6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Route simple queries to smaller/cheaper models; reserve larger models for complex or low-confidence cases.</w:t>
            </w:r>
          </w:p>
        </w:tc>
      </w:tr>
      <w:tr>
        <w:tc>
          <w:tcPr>
            <w:tcW w:type="dxa" w:w="27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On-device inference</w:t>
            </w:r>
          </w:p>
        </w:tc>
        <w:tc>
          <w:tcPr>
            <w:tcW w:type="dxa" w:w="61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Reduces per-query cloud cost and improves offline resilience, at the cost of engineering investment.</w:t>
            </w:r>
          </w:p>
        </w:tc>
      </w:tr>
      <w:tr>
        <w:tc>
          <w:tcPr>
            <w:tcW w:type="dxa" w:w="2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Caching &amp; batching</w:t>
            </w:r>
          </w:p>
        </w:tc>
        <w:tc>
          <w:tcPr>
            <w:tcW w:type="dxa" w:w="6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Common questions (e.g. seasonal advisory) can be cached rather than re-generated per farmer.</w:t>
            </w:r>
          </w:p>
        </w:tc>
      </w:tr>
      <w:tr>
        <w:tc>
          <w:tcPr>
            <w:tcW w:type="dxa" w:w="27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Subsidized cost recovery</w:t>
            </w:r>
          </w:p>
        </w:tc>
        <w:tc>
          <w:tcPr>
            <w:tcW w:type="dxa" w:w="61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Institutional/data-licensing revenue offsets per-farmer inference cost during the free/low-price tier.</w:t>
            </w:r>
          </w:p>
        </w:tc>
      </w:tr>
    </w:tbl>
    <w:p>
      <w:pPr>
        <w:spacing w:after="100"/>
      </w:pPr>
    </w:p>
    <w:p>
      <w:pPr>
        <w:spacing w:after="160" w:line="276"/>
      </w:pPr>
      <w:r>
        <w:rPr>
          <w:rFonts w:ascii="Calibri" w:cs="Calibri" w:eastAsia="Calibri" w:hAnsi="Calibri"/>
          <w:color w:val="212121"/>
          <w:sz w:val="22"/>
          <w:szCs w:val="22"/>
        </w:rPr>
        <w:t xml:space="preserve">A basic unit economics model (illustrative — figures should be validated during the pilot) should track: cost per AI interaction, average interactions per farmer per season, revenue per farmer (blended across tiers), and the institutional revenue required to subsidize free-tier usage to breakeven.</w:t>
      </w:r>
    </w:p>
    <w:p>
      <w:pPr>
        <w:spacing w:after="100"/>
      </w:pPr>
    </w:p>
    <w:p>
      <w:pPr>
        <w:pStyle w:val="Heading1"/>
        <w:pBdr>
          <w:bottom w:val="single" w:color="4CAF50" w:sz="12" w:space="4"/>
        </w:pBdr>
        <w:spacing w:after="240" w:before="480"/>
      </w:pPr>
      <w:r>
        <w:rPr>
          <w:rFonts w:ascii="Calibri" w:cs="Calibri" w:eastAsia="Calibri" w:hAnsi="Calibri"/>
          <w:b/>
          <w:bCs/>
          <w:color w:val="B08D2B"/>
          <w:sz w:val="32"/>
          <w:szCs w:val="32"/>
        </w:rPr>
        <w:t xml:space="preserve">8  </w:t>
      </w:r>
      <w:r>
        <w:rPr>
          <w:rFonts w:ascii="Calibri" w:cs="Calibri" w:eastAsia="Calibri" w:hAnsi="Calibri"/>
          <w:b/>
          <w:bCs/>
          <w:color w:val="1B5E20"/>
          <w:sz w:val="32"/>
          <w:szCs w:val="32"/>
        </w:rPr>
        <w:t xml:space="preserve">Competitive Landscape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200"/>
      </w:tblGrid>
      <w:tr>
        <w:trPr>
          <w:tblHeader/>
        </w:trPr>
        <w:tc>
          <w:tcPr>
            <w:tcW w:type="dxa" w:w="22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Player</w:t>
            </w:r>
          </w:p>
        </w:tc>
        <w:tc>
          <w:tcPr>
            <w:tcW w:type="dxa" w:w="34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Focus</w:t>
            </w:r>
          </w:p>
        </w:tc>
        <w:tc>
          <w:tcPr>
            <w:tcW w:type="dxa" w:w="32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ShambaAI Differentiation</w:t>
            </w:r>
          </w:p>
        </w:tc>
      </w:tr>
      <w:tr>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Plantix</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AI-based crop disease diagnosis via image upload</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ShambaAI adds market intelligence, yield prediction, and farm planning in one integrated system rather than diagnostics alone</w:t>
            </w:r>
          </w:p>
        </w:tc>
      </w:tr>
      <w:tr>
        <w:tc>
          <w:tcPr>
            <w:tcW w:type="dxa" w:w="22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PlantVillage Nuru</w:t>
            </w:r>
          </w:p>
        </w:tc>
        <w:tc>
          <w:tcPr>
            <w:tcW w:type="dxa" w:w="34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Offline-capable disease detection (notably cassava)</w:t>
            </w:r>
          </w:p>
        </w:tc>
        <w:tc>
          <w:tcPr>
            <w:tcW w:type="dxa" w:w="32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ShambaAI targets broader crop coverage plus advisory chat and market timing</w:t>
            </w:r>
          </w:p>
        </w:tc>
      </w:tr>
      <w:tr>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Digital Green</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Video-based agricultural extension and community learning</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ShambaAI adds real-time, personalized AI advisory rather than pre-recorded content</w:t>
            </w:r>
          </w:p>
        </w:tc>
      </w:tr>
      <w:tr>
        <w:tc>
          <w:tcPr>
            <w:tcW w:type="dxa" w:w="22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FarmDrive</w:t>
            </w:r>
          </w:p>
        </w:tc>
        <w:tc>
          <w:tcPr>
            <w:tcW w:type="dxa" w:w="34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Credit scoring and financial access for smallholder farmers</w:t>
            </w:r>
          </w:p>
        </w:tc>
        <w:tc>
          <w:tcPr>
            <w:tcW w:type="dxa" w:w="32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Complementary rather than directly competitive; potential partnership angle for input financing</w:t>
            </w:r>
          </w:p>
        </w:tc>
      </w:tr>
    </w:tbl>
    <w:p>
      <w:pPr>
        <w:pBdr>
          <w:left w:val="single" w:color="B08D2B" w:sz="18" w:space="8"/>
        </w:pBdr>
        <w:shd w:fill="E8F5E9" w:val="clear"/>
        <w:spacing w:after="200" w:before="120"/>
        <w:ind w:left="360"/>
      </w:pPr>
      <w:r>
        <w:rPr>
          <w:rFonts w:ascii="Calibri" w:cs="Calibri" w:eastAsia="Calibri" w:hAnsi="Calibri"/>
          <w:b/>
          <w:bCs/>
          <w:color w:val="1B5E20"/>
          <w:sz w:val="20"/>
          <w:szCs w:val="20"/>
        </w:rPr>
        <w:t xml:space="preserve">Why this matters:  </w:t>
      </w:r>
      <w:r>
        <w:rPr>
          <w:rFonts w:ascii="Calibri" w:cs="Calibri" w:eastAsia="Calibri" w:hAnsi="Calibri"/>
          <w:i/>
          <w:iCs/>
          <w:color w:val="212121"/>
          <w:sz w:val="20"/>
          <w:szCs w:val="20"/>
        </w:rPr>
        <w:t xml:space="preserve">A credible pitch to investors or partners should name these players explicitly and articulate why integration (diagnosis + planning + market + advisory in one system) is a defensible differentiator rather than claiming an empty market.</w:t>
      </w:r>
    </w:p>
    <w:p>
      <w:pPr>
        <w:spacing w:after="100"/>
      </w:pPr>
    </w:p>
    <w:p>
      <w:pPr>
        <w:pStyle w:val="Heading1"/>
        <w:pBdr>
          <w:bottom w:val="single" w:color="4CAF50" w:sz="12" w:space="4"/>
        </w:pBdr>
        <w:spacing w:after="240" w:before="480"/>
      </w:pPr>
      <w:r>
        <w:rPr>
          <w:rFonts w:ascii="Calibri" w:cs="Calibri" w:eastAsia="Calibri" w:hAnsi="Calibri"/>
          <w:b/>
          <w:bCs/>
          <w:color w:val="B08D2B"/>
          <w:sz w:val="32"/>
          <w:szCs w:val="32"/>
        </w:rPr>
        <w:t xml:space="preserve">9  </w:t>
      </w:r>
      <w:r>
        <w:rPr>
          <w:rFonts w:ascii="Calibri" w:cs="Calibri" w:eastAsia="Calibri" w:hAnsi="Calibri"/>
          <w:b/>
          <w:bCs/>
          <w:color w:val="1B5E20"/>
          <w:sz w:val="32"/>
          <w:szCs w:val="32"/>
        </w:rPr>
        <w:t xml:space="preserve">Success Metrics &amp; KPIs</w:t>
      </w:r>
    </w:p>
    <w:p>
      <w:pPr>
        <w:spacing w:after="160" w:line="276"/>
      </w:pPr>
      <w:r>
        <w:rPr>
          <w:rFonts w:ascii="Calibri" w:cs="Calibri" w:eastAsia="Calibri" w:hAnsi="Calibri"/>
          <w:color w:val="212121"/>
          <w:sz w:val="22"/>
          <w:szCs w:val="22"/>
        </w:rPr>
        <w:t xml:space="preserve">The SRD's "Expected Impact" section is qualitative. The pilot needs measurable targets to validate product-market fit before scaling investment.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300"/>
        <w:gridCol w:w="4500"/>
      </w:tblGrid>
      <w:tr>
        <w:trPr>
          <w:tblHeader/>
        </w:trPr>
        <w:tc>
          <w:tcPr>
            <w:tcW w:type="dxa" w:w="43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Metric</w:t>
            </w:r>
          </w:p>
        </w:tc>
        <w:tc>
          <w:tcPr>
            <w:tcW w:type="dxa" w:w="4500"/>
            <w:shd w:fill="2E7D32"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What It Validates</w:t>
            </w:r>
          </w:p>
        </w:tc>
      </w:tr>
      <w:tr>
        <w:tc>
          <w:tcPr>
            <w:tcW w:type="dxa" w:w="4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Diagnostic accuracy (%) vs. expert ground truth</w:t>
            </w:r>
          </w:p>
        </w:tc>
        <w:tc>
          <w:tcPr>
            <w:tcW w:type="dxa" w:w="4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AI model reliability</w:t>
            </w:r>
          </w:p>
        </w:tc>
      </w:tr>
      <w:tr>
        <w:tc>
          <w:tcPr>
            <w:tcW w:type="dxa" w:w="43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Farmer retention (season-over-season)</w:t>
            </w:r>
          </w:p>
        </w:tc>
        <w:tc>
          <w:tcPr>
            <w:tcW w:type="dxa" w:w="45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Sustained perceived value</w:t>
            </w:r>
          </w:p>
        </w:tc>
      </w:tr>
      <w:tr>
        <w:tc>
          <w:tcPr>
            <w:tcW w:type="dxa" w:w="4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DAU/MAU ratio</w:t>
            </w:r>
          </w:p>
        </w:tc>
        <w:tc>
          <w:tcPr>
            <w:tcW w:type="dxa" w:w="4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Engagement depth</w:t>
            </w:r>
          </w:p>
        </w:tc>
      </w:tr>
      <w:tr>
        <w:tc>
          <w:tcPr>
            <w:tcW w:type="dxa" w:w="43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Self-reported yield change vs. control group</w:t>
            </w:r>
          </w:p>
        </w:tc>
        <w:tc>
          <w:tcPr>
            <w:tcW w:type="dxa" w:w="45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Real-world impact</w:t>
            </w:r>
          </w:p>
        </w:tc>
      </w:tr>
      <w:tr>
        <w:tc>
          <w:tcPr>
            <w:tcW w:type="dxa" w:w="4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Revenue per farmer (blended)</w:t>
            </w:r>
          </w:p>
        </w:tc>
        <w:tc>
          <w:tcPr>
            <w:tcW w:type="dxa" w:w="4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Monetization viability</w:t>
            </w:r>
          </w:p>
        </w:tc>
      </w:tr>
      <w:tr>
        <w:tc>
          <w:tcPr>
            <w:tcW w:type="dxa" w:w="43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Cost per AI interaction</w:t>
            </w:r>
          </w:p>
        </w:tc>
        <w:tc>
          <w:tcPr>
            <w:tcW w:type="dxa" w:w="4500"/>
            <w:shd w:fill="E8F5E9"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Unit economics sustainability</w:t>
            </w:r>
          </w:p>
        </w:tc>
      </w:tr>
      <w:tr>
        <w:tc>
          <w:tcPr>
            <w:tcW w:type="dxa" w:w="4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Net Promoter Score (farmer cohort)</w:t>
            </w:r>
          </w:p>
        </w:tc>
        <w:tc>
          <w:tcPr>
            <w:tcW w:type="dxa" w:w="4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12121"/>
                <w:sz w:val="20"/>
                <w:szCs w:val="20"/>
              </w:rPr>
              <w:t xml:space="preserve">Trust and word-of-mouth adoption potential</w:t>
            </w:r>
          </w:p>
        </w:tc>
      </w:tr>
    </w:tbl>
    <w:p>
      <w:pPr>
        <w:spacing w:after="100"/>
      </w:pPr>
    </w:p>
    <w:p>
      <w:pPr>
        <w:pStyle w:val="Heading1"/>
        <w:pBdr>
          <w:bottom w:val="single" w:color="4CAF50" w:sz="12" w:space="4"/>
        </w:pBdr>
        <w:spacing w:after="240" w:before="480"/>
      </w:pPr>
      <w:r>
        <w:rPr>
          <w:rFonts w:ascii="Calibri" w:cs="Calibri" w:eastAsia="Calibri" w:hAnsi="Calibri"/>
          <w:b/>
          <w:bCs/>
          <w:color w:val="B08D2B"/>
          <w:sz w:val="32"/>
          <w:szCs w:val="32"/>
        </w:rPr>
        <w:t xml:space="preserve">10  </w:t>
      </w:r>
      <w:r>
        <w:rPr>
          <w:rFonts w:ascii="Calibri" w:cs="Calibri" w:eastAsia="Calibri" w:hAnsi="Calibri"/>
          <w:b/>
          <w:bCs/>
          <w:color w:val="1B5E20"/>
          <w:sz w:val="32"/>
          <w:szCs w:val="32"/>
        </w:rPr>
        <w:t xml:space="preserve">Team &amp; Execution Plan</w:t>
      </w:r>
    </w:p>
    <w:p>
      <w:pPr>
        <w:spacing w:after="160" w:line="276"/>
      </w:pPr>
      <w:r>
        <w:rPr>
          <w:rFonts w:ascii="Calibri" w:cs="Calibri" w:eastAsia="Calibri" w:hAnsi="Calibri"/>
          <w:color w:val="212121"/>
          <w:sz w:val="22"/>
          <w:szCs w:val="22"/>
        </w:rPr>
        <w:t xml:space="preserve">The SRD is technically scoped but does not address the team or partnerships required to execute it credibly.</w:t>
      </w:r>
    </w:p>
    <w:p>
      <w:pPr>
        <w:pStyle w:val="Heading2"/>
        <w:spacing w:after="160" w:before="320"/>
      </w:pPr>
      <w:r>
        <w:rPr>
          <w:rFonts w:ascii="Calibri" w:cs="Calibri" w:eastAsia="Calibri" w:hAnsi="Calibri"/>
          <w:b/>
          <w:bCs/>
          <w:color w:val="2E7D32"/>
          <w:sz w:val="26"/>
          <w:szCs w:val="26"/>
        </w:rPr>
        <w:t xml:space="preserve">10.1  Core Team Needs</w:t>
      </w:r>
    </w:p>
    <w:p>
      <w:pPr>
        <w:pStyle w:val="ListParagraph"/>
        <w:numPr>
          <w:ilvl w:val="0"/>
          <w:numId w:val="2"/>
        </w:numPr>
        <w:spacing w:after="80"/>
      </w:pPr>
      <w:r>
        <w:rPr>
          <w:rFonts w:ascii="Calibri" w:cs="Calibri" w:eastAsia="Calibri" w:hAnsi="Calibri"/>
          <w:color w:val="212121"/>
          <w:sz w:val="22"/>
          <w:szCs w:val="22"/>
        </w:rPr>
        <w:t xml:space="preserve">ML/Computer Vision engineer(s) for the crop diagnostic model</w:t>
      </w:r>
    </w:p>
    <w:p>
      <w:pPr>
        <w:pStyle w:val="ListParagraph"/>
        <w:numPr>
          <w:ilvl w:val="0"/>
          <w:numId w:val="2"/>
        </w:numPr>
        <w:spacing w:after="80"/>
      </w:pPr>
      <w:r>
        <w:rPr>
          <w:rFonts w:ascii="Calibri" w:cs="Calibri" w:eastAsia="Calibri" w:hAnsi="Calibri"/>
          <w:color w:val="212121"/>
          <w:sz w:val="22"/>
          <w:szCs w:val="22"/>
        </w:rPr>
        <w:t xml:space="preserve">Backend/mobile engineers (Flutter, API layer)</w:t>
      </w:r>
    </w:p>
    <w:p>
      <w:pPr>
        <w:pStyle w:val="ListParagraph"/>
        <w:numPr>
          <w:ilvl w:val="0"/>
          <w:numId w:val="2"/>
        </w:numPr>
        <w:spacing w:after="80"/>
      </w:pPr>
      <w:r>
        <w:rPr>
          <w:rFonts w:ascii="Calibri" w:cs="Calibri" w:eastAsia="Calibri" w:hAnsi="Calibri"/>
          <w:color w:val="212121"/>
          <w:sz w:val="22"/>
          <w:szCs w:val="22"/>
        </w:rPr>
        <w:t xml:space="preserve">Agronomist(s) — in-house or advisory — to validate recommendations and label training data</w:t>
      </w:r>
    </w:p>
    <w:p>
      <w:pPr>
        <w:pStyle w:val="ListParagraph"/>
        <w:numPr>
          <w:ilvl w:val="0"/>
          <w:numId w:val="2"/>
        </w:numPr>
        <w:spacing w:after="80"/>
      </w:pPr>
      <w:r>
        <w:rPr>
          <w:rFonts w:ascii="Calibri" w:cs="Calibri" w:eastAsia="Calibri" w:hAnsi="Calibri"/>
          <w:color w:val="212121"/>
          <w:sz w:val="22"/>
          <w:szCs w:val="22"/>
        </w:rPr>
        <w:t xml:space="preserve">Partnerships lead — for cooperative, NGO, and telco relationships</w:t>
      </w:r>
    </w:p>
    <w:p>
      <w:pPr>
        <w:pStyle w:val="ListParagraph"/>
        <w:numPr>
          <w:ilvl w:val="0"/>
          <w:numId w:val="2"/>
        </w:numPr>
        <w:spacing w:after="80"/>
      </w:pPr>
      <w:r>
        <w:rPr>
          <w:rFonts w:ascii="Calibri" w:cs="Calibri" w:eastAsia="Calibri" w:hAnsi="Calibri"/>
          <w:color w:val="212121"/>
          <w:sz w:val="22"/>
          <w:szCs w:val="22"/>
        </w:rPr>
        <w:t xml:space="preserve">Data collection / field operations coordinator for the pilot region</w:t>
      </w:r>
    </w:p>
    <w:p>
      <w:pPr>
        <w:pStyle w:val="Heading2"/>
        <w:spacing w:after="160" w:before="320"/>
      </w:pPr>
      <w:r>
        <w:rPr>
          <w:rFonts w:ascii="Calibri" w:cs="Calibri" w:eastAsia="Calibri" w:hAnsi="Calibri"/>
          <w:b/>
          <w:bCs/>
          <w:color w:val="2E7D32"/>
          <w:sz w:val="26"/>
          <w:szCs w:val="26"/>
        </w:rPr>
        <w:t xml:space="preserve">10.2  Key External Partnerships</w:t>
      </w:r>
    </w:p>
    <w:p>
      <w:pPr>
        <w:pStyle w:val="ListParagraph"/>
        <w:numPr>
          <w:ilvl w:val="0"/>
          <w:numId w:val="2"/>
        </w:numPr>
        <w:spacing w:after="80"/>
      </w:pPr>
      <w:r>
        <w:rPr>
          <w:rFonts w:ascii="Calibri" w:cs="Calibri" w:eastAsia="Calibri" w:hAnsi="Calibri"/>
          <w:color w:val="212121"/>
          <w:sz w:val="22"/>
          <w:szCs w:val="22"/>
        </w:rPr>
        <w:t xml:space="preserve">Local agricultural research institute or university (data, validation credibility)</w:t>
      </w:r>
    </w:p>
    <w:p>
      <w:pPr>
        <w:pStyle w:val="ListParagraph"/>
        <w:numPr>
          <w:ilvl w:val="0"/>
          <w:numId w:val="2"/>
        </w:numPr>
        <w:spacing w:after="80"/>
      </w:pPr>
      <w:r>
        <w:rPr>
          <w:rFonts w:ascii="Calibri" w:cs="Calibri" w:eastAsia="Calibri" w:hAnsi="Calibri"/>
          <w:color w:val="212121"/>
          <w:sz w:val="22"/>
          <w:szCs w:val="22"/>
        </w:rPr>
        <w:t xml:space="preserve">Cooperative or farmer association for distribution and trust</w:t>
      </w:r>
    </w:p>
    <w:p>
      <w:pPr>
        <w:pStyle w:val="ListParagraph"/>
        <w:numPr>
          <w:ilvl w:val="0"/>
          <w:numId w:val="2"/>
        </w:numPr>
        <w:spacing w:after="80"/>
      </w:pPr>
      <w:r>
        <w:rPr>
          <w:rFonts w:ascii="Calibri" w:cs="Calibri" w:eastAsia="Calibri" w:hAnsi="Calibri"/>
          <w:color w:val="212121"/>
          <w:sz w:val="22"/>
          <w:szCs w:val="22"/>
        </w:rPr>
        <w:t xml:space="preserve">Telco partner for data cost subsidization</w:t>
      </w:r>
    </w:p>
    <w:p>
      <w:pPr>
        <w:pStyle w:val="ListParagraph"/>
        <w:numPr>
          <w:ilvl w:val="0"/>
          <w:numId w:val="2"/>
        </w:numPr>
        <w:spacing w:after="80"/>
      </w:pPr>
      <w:r>
        <w:rPr>
          <w:rFonts w:ascii="Calibri" w:cs="Calibri" w:eastAsia="Calibri" w:hAnsi="Calibri"/>
          <w:color w:val="212121"/>
          <w:sz w:val="22"/>
          <w:szCs w:val="22"/>
        </w:rPr>
        <w:t xml:space="preserve">NGO or government extension program as an initial institutional customer/funder</w:t>
      </w:r>
    </w:p>
    <w:p>
      <w:pPr>
        <w:spacing w:after="100"/>
      </w:pPr>
    </w:p>
    <w:p>
      <w:pPr>
        <w:pStyle w:val="Heading1"/>
        <w:pBdr>
          <w:bottom w:val="single" w:color="4CAF50" w:sz="12" w:space="4"/>
        </w:pBdr>
        <w:spacing w:after="240" w:before="480"/>
      </w:pPr>
      <w:r>
        <w:rPr>
          <w:rFonts w:ascii="Calibri" w:cs="Calibri" w:eastAsia="Calibri" w:hAnsi="Calibri"/>
          <w:b/>
          <w:bCs/>
          <w:color w:val="B08D2B"/>
          <w:sz w:val="32"/>
          <w:szCs w:val="32"/>
        </w:rPr>
        <w:t xml:space="preserve"/>
      </w:r>
      <w:r>
        <w:rPr>
          <w:rFonts w:ascii="Calibri" w:cs="Calibri" w:eastAsia="Calibri" w:hAnsi="Calibri"/>
          <w:b/>
          <w:bCs/>
          <w:color w:val="1B5E20"/>
          <w:sz w:val="32"/>
          <w:szCs w:val="32"/>
        </w:rPr>
        <w:t xml:space="preserve">Closing Note</w:t>
      </w:r>
    </w:p>
    <w:p>
      <w:pPr>
        <w:spacing w:after="160" w:line="276"/>
      </w:pPr>
      <w:r>
        <w:rPr>
          <w:rFonts w:ascii="Calibri" w:cs="Calibri" w:eastAsia="Calibri" w:hAnsi="Calibri"/>
          <w:b/>
          <w:bCs/>
          <w:i/>
          <w:iCs/>
          <w:color w:val="1B5E20"/>
          <w:sz w:val="22"/>
          <w:szCs w:val="22"/>
        </w:rPr>
        <w:t xml:space="preserve">The SRD answers what ShambaAI should build. This addendum answers who pays for it, how it earns trust, where the technical risk actually sits, and how success will be measured — the questions that determine whether the system reaches farmers at all, not just whether it can be built.</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368"/>
        <w:sz w:val="18"/>
        <w:szCs w:val="18"/>
      </w:rPr>
      <w:t xml:space="preserve">Page </w:t>
    </w:r>
    <w:r>
      <w:rPr>
        <w:rFonts w:ascii="Calibri" w:cs="Calibri" w:eastAsia="Calibri" w:hAnsi="Calibri"/>
        <w:color w:val="5F6368"/>
        <w:sz w:val="18"/>
        <w:szCs w:val="18"/>
      </w:rPr>
      <w:fldChar w:fldCharType="begin"/>
      <w:instrText xml:space="preserve">PAGE</w:instrText>
      <w:fldChar w:fldCharType="separate"/>
      <w:fldChar w:fldCharType="end"/>
    </w:r>
    <w:r>
      <w:rPr>
        <w:rFonts w:ascii="Calibri" w:cs="Calibri" w:eastAsia="Calibri" w:hAnsi="Calibri"/>
        <w:color w:val="5F6368"/>
        <w:sz w:val="18"/>
        <w:szCs w:val="18"/>
      </w:rPr>
      <w:t xml:space="preserve"> of </w:t>
    </w:r>
    <w:r>
      <w:rPr>
        <w:rFonts w:ascii="Calibri" w:cs="Calibri" w:eastAsia="Calibri" w:hAnsi="Calibri"/>
        <w:color w:val="5F63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6C9" w:sz="6" w:space="4"/>
      </w:pBdr>
      <w:tabs>
        <w:tab w:val="right" w:pos="9026"/>
      </w:tabs>
    </w:pPr>
    <w:r>
      <w:rPr>
        <w:rFonts w:ascii="Calibri" w:cs="Calibri" w:eastAsia="Calibri" w:hAnsi="Calibri"/>
        <w:color w:val="2E7D32"/>
        <w:sz w:val="16"/>
        <w:szCs w:val="16"/>
      </w:rPr>
      <w:t xml:space="preserve">ShambaAI — Business Model &amp; Go-to-Market Addendum</w:t>
    </w:r>
    <w:r>
      <w:rPr>
        <w:rFonts w:ascii="Calibri" w:cs="Calibri" w:eastAsia="Calibri" w:hAnsi="Calibri"/>
        <w:color w:val="5F6368"/>
        <w:sz w:val="16"/>
        <w:szCs w:val="16"/>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D32"/>
      </w:rPr>
    </w:lvl>
    <w:lvl w:ilvl="1" w15:tentative="1">
      <w:start w:val="1"/>
      <w:numFmt w:val="bullet"/>
      <w:lvlText w:val="○"/>
      <w:lvlJc w:val="left"/>
      <w:pPr>
        <w:ind w:left="820" w:hanging="260"/>
      </w:pPr>
      <w:rPr>
        <w:color w:val="4CAF5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ShambaAI — Business Model &amp; Go-to-Market Addendum</dc:title>
  <dc:creator>ShambaAI Project</dc:creator>
  <cp:lastModifiedBy>Un-named</cp:lastModifiedBy>
  <cp:revision>1</cp:revision>
  <dcterms:created xsi:type="dcterms:W3CDTF">2026-07-03T11:22:09.334Z</dcterms:created>
  <dcterms:modified xsi:type="dcterms:W3CDTF">2026-07-03T11:22:09.346Z</dcterms:modified>
</cp:coreProperties>
</file>

<file path=docProps/custom.xml><?xml version="1.0" encoding="utf-8"?>
<Properties xmlns="http://schemas.openxmlformats.org/officeDocument/2006/custom-properties" xmlns:vt="http://schemas.openxmlformats.org/officeDocument/2006/docPropsVTypes"/>
</file>