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sz w:val="96"/>
          <w:szCs w:val="96"/>
        </w:rPr>
        <w:t xml:space="preserve">⚙️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08D2B"/>
          <w:spacing w:val="20"/>
          <w:sz w:val="24"/>
          <w:szCs w:val="24"/>
        </w:rPr>
        <w:t xml:space="preserve">ADDENDUM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Technical Architecture,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Stack &amp; Implementation Roadmap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2E7D32"/>
          <w:sz w:val="26"/>
          <w:szCs w:val="26"/>
        </w:rPr>
        <w:t xml:space="preserve">Supplementary to the ShambaAI System Requirements Document</w:t>
      </w:r>
    </w:p>
    <w:p>
      <w:pPr>
        <w:pBdr>
          <w:top w:val="single" w:color="4CAF50" w:sz="8" w:space="10"/>
        </w:pBdr>
        <w:spacing w:after="60"/>
        <w:jc w:val="center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Version 1.0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F6368"/>
          <w:sz w:val="22"/>
          <w:szCs w:val="22"/>
        </w:rPr>
        <w:t xml:space="preserve">July 3,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F6368"/>
          <w:sz w:val="22"/>
          <w:szCs w:val="22"/>
        </w:rPr>
        <w:t xml:space="preserve">Prepared for Engineering &amp; Investor Review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</w:pPr>
      <w:r>
        <w:rPr>
          <w:i/>
          <w:iCs/>
          <w:color w:val="5F6368"/>
          <w:sz w:val="18"/>
          <w:szCs w:val="18"/>
        </w:rPr>
        <w:t xml:space="preserve">Right-click the table above and choose "Update Field" in Microsoft Word to populate page numbers.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F6368"/>
          <w:sz w:val="22"/>
          <w:szCs w:val="22"/>
        </w:rPr>
        <w:t xml:space="preserve">This addendum defines the target technology stack, infrastructure architecture, and implementation timeline for ShambaAI. It should be read alongside the SRD and the Business Model &amp; Go-to-Market Addendum.</w:t>
      </w:r>
    </w:p>
    <w:p>
      <w:pPr>
        <w:spacing w:after="100"/>
      </w:pPr>
    </w:p>
    <w:p>
      <w:pPr>
        <w:pStyle w:val="Heading1"/>
        <w:pBdr>
          <w:bottom w:val="single" w:color="4CAF50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08D2B"/>
          <w:sz w:val="32"/>
          <w:szCs w:val="32"/>
        </w:rPr>
        <w:t xml:space="preserve">1  </w:t>
      </w: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Stack Decisions &amp; Rationale</w:t>
      </w:r>
    </w:p>
    <w:p>
      <w:pPr>
        <w:spacing w:after="160" w:line="276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Two foundational decisions anchor this stack: Flutter for mobile (confirmed), and Python/FastAPI for the backend, chosen specifically because the AI Engine Layer (vision inference, LLM orchestration, model retraining) is Python-native, and keeping the API layer in the same language avoids a translation boundary between application logic and ML logic.</w:t>
      </w:r>
    </w:p>
    <w:p>
      <w:pPr>
        <w:pBdr>
          <w:left w:val="single" w:color="1565C0" w:sz="18" w:space="8"/>
        </w:pBdr>
        <w:shd w:fill="E3F2FD" w:val="clear"/>
        <w:spacing w:after="200" w:before="120"/>
        <w:ind w:left="36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Assumption: 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No cloud provider was specified, so this document recommends AWS as the primary infrastructure provider, paired with Firebase for mobile-specific services. Rationale is detailed in Section 3.1. This is a recommendation, not a locked decision — the architecture is portable to GCP or Azure with moderate rework if a partner, credit program, or data-residency requirement dictates otherwise.</w:t>
      </w:r>
    </w:p>
    <w:p>
      <w:pPr>
        <w:pStyle w:val="Heading1"/>
        <w:pBdr>
          <w:bottom w:val="single" w:color="4CAF50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08D2B"/>
          <w:sz w:val="32"/>
          <w:szCs w:val="32"/>
        </w:rPr>
        <w:t xml:space="preserve">2  </w:t>
      </w: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Technology Stack by Layer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2.1  Mobile App (Client Layer)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Flutter (Dart) — single codebase for Android + iOS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Riverpod (testable, compile-safe, scales better than Provider for this app's size)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Local storage / offline cache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Hive or Drift (SQLite) for farm profiles, queued images, cached advisory content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Connectivity handling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connectivity_plus + custom store-and-forward sync queue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On-device ML inference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tflite_flutter (TensorFlow Lite) for the lightweight disease/pest classifier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Camera / image capture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camera + image_picker with client-side compression before upload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Firebase Auth — phone number + OTP (matches low email-literacy context)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flutter_localizations + intl, ARB-based translation files per supported language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Crash / error monitoring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Firebase Crashlytics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Analytics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Firebase Analytics (funnel/retention) feeding into product KPIs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2.2  Backend / API Layer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FastAPI (Python 3.12), served via Uvicorn behind Gunicorn workers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Pydantic v2 models shared across request/response schemas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ORM / database access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SQLAlchemy 2.0 (async) + Alembic for migrations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Background jobs / queues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Celery + Redis — for image processing, notification dispatch, model retraining triggers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API style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REST (OpenAPI auto-generated by FastAPI); GraphQL considered post-Phase 1 for dashboard flexibility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Auth verification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Firebase Admin SDK validates client JWTs server-side; internal service-to-service auth via signed tokens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Rate limiting / API gateway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AWS API Gateway or Kong, in front of the FastAPI service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2.3  AI / ML Engine Layer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Vision model (training)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PyTorch, EfficientNet/MobileNetV3 backbone (mobile-deployable), transfer-learned from public datasets then fine-tuned on local data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Vision model (cloud inference)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TorchServe or AWS SageMaker real-time endpoint for high-confidence / high-load cases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Vision model (on-device inference)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Same architecture exported to TensorFlow Lite / ONNX, quantized for mobile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Advisory chat / reasoning (LLM)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Anthropic Claude API (Claude Sonnet for general chat; smaller/cheaper tier for simple FAQ-style queries per the tiering strategy in the GTM addendum)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Retrieval-augmented generation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Agriculture knowledge base embedded and retrieved to ground LLM responses in verified local agronomy content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pgvector extension on the primary Postgres instance (avoids a separate DB to operate at pilot scale); migrate to a dedicated vector store (e.g. Pinecone) only if scale demands it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Experiment tracking / model registry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MLflow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Data labeling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Label Studio, used by contracted agronomists / extension officers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Active-learning loop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Low-confidence predictions flagged in Postgres, routed to a review queue, verified labels re-enter the training set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2.4  Data Layer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PostgreSQL (Amazon RDS) — with PostGIS for farm geolocation, pgvector for embeddings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Caching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Redis (Amazon ElastiCache) — session cache, Celery broker, hot-path advisory caching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Amazon S3 — crop images, model artifacts, exported reports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Weather data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Tomorrow.io or OpenWeatherMap API, supplemented by local meteorological agency feeds where available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Market price data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Partner-fed data from cooperatives/agro-dealers initially; commodity exchange APIs as they become available per region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Analytics / institutional reporting (Phase 2+)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Amazon Redshift or BigQuery, fed by a nightly ETL from Postgres + S3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2.5  Communication Channels (Offline-First)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SMS / USSD gateway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Africa's Talking (strong regional coverage and USSD support) or Twilio as an alternate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Store-and-forward sync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Custom sync service in the FastAPI backend reconciling queued mobile actions on reconnect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2.6  Infrastructure &amp; DevOps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AWS — af-south-1 (Cape Town) as primary region for latency and data residency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Compute (backend)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ECS Fargate (containers) initially; migrate to EKS (Kubernetes) only if operational complexity is justified by scale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ML inference compute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SageMaker endpoints, autoscaled; GPU only provisioned for training jobs, not always-on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Terraform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CI/CD — backend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GitHub Actions → Docker build → Amazon ECR → ECS deploy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CI/CD — mobile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Codemagic or GitHub Actions + Fastlane → App Store / Play Store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Amazon ECR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AWS Secrets Manager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CDN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Amazon CloudFront — static assets, on-device model updates</w:t>
            </w:r>
          </w:p>
        </w:tc>
      </w:tr>
      <w:tr>
        <w:tc>
          <w:tcPr>
            <w:tcW w:type="dxa" w:w="3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Monitoring / observability</w:t>
            </w:r>
          </w:p>
        </w:tc>
        <w:tc>
          <w:tcPr>
            <w:tcW w:type="dxa" w:w="6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CloudWatch (infra) + Sentry (app + backend errors) + Grafana/Prometheus (custom metrics)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Logging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OpenSearch (Amazon OpenSearch Service) or CloudWatch Logs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2.7  Security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TLS everywhere (client ↔ API, API ↔ services); encryption at rest for RDS and S3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Role-based access control: farmer, extension officer, cooperative admin, institutional/NGO viewer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Firebase Auth (phone OTP) issuing short-lived JWTs, verified server-side on every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AWS WAF in front of the API Gateway for basic attack surface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Data protection compliance reviewed per target country (e.g. Kenya's Data Protection Act, Tanzania's Personal Data Protection Act) before pilot launch</w:t>
      </w:r>
    </w:p>
    <w:p>
      <w:pPr>
        <w:spacing w:after="100"/>
      </w:pPr>
    </w:p>
    <w:p>
      <w:pPr>
        <w:pStyle w:val="Heading1"/>
        <w:pBdr>
          <w:bottom w:val="single" w:color="4CAF50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08D2B"/>
          <w:sz w:val="32"/>
          <w:szCs w:val="32"/>
        </w:rPr>
        <w:t xml:space="preserve">3  </w:t>
      </w: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Target Infrastructure Rationale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3.1  Why AWS + Firebase (Hybrid)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Regional presence: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AWS operates an Africa region (af-south-1, Cape Town), which matters for latency and for any future data-residency requirements tied to NGO/government contracts.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ML maturity: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SageMaker, together with a self-managed TorchServe option, gives flexibility to start cheap (containerized inference) and scale to managed infrastructure without a platform migration.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Mobile-first services via Firebase: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Firebase's Auth, Cloud Messaging, Crashlytics, and Analytics are first-class in Flutter and remove significant backend build work for concerns that are genuinely mobile-native, regardless of which cloud runs the core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12121"/>
          <w:sz w:val="22"/>
          <w:szCs w:val="22"/>
        </w:rPr>
        <w:t xml:space="preserve">Startup credit programs: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AWS Activate credits are commonly available to early-stage startups and can meaningfully offset infrastructure cost during the pilot phase — worth pursuing alongside NGO/grant funding discussed in the Business Model addendum.</w:t>
      </w:r>
    </w:p>
    <w:p>
      <w:pPr>
        <w:pBdr>
          <w:left w:val="single" w:color="B08D2B" w:sz="18" w:space="8"/>
        </w:pBdr>
        <w:shd w:fill="E8F5E9" w:val="clear"/>
        <w:spacing w:after="200" w:before="120"/>
        <w:ind w:left="360"/>
      </w:pPr>
      <w:r>
        <w:rPr>
          <w:rFonts w:ascii="Calibri" w:cs="Calibri" w:eastAsia="Calibri" w:hAnsi="Calibri"/>
          <w:b/>
          <w:bCs/>
          <w:color w:val="1B5E20"/>
          <w:sz w:val="20"/>
          <w:szCs w:val="20"/>
        </w:rPr>
        <w:t xml:space="preserve">Why this matters: 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This is a recommendation based on typical constraints for an early-stage agtech pilot in Africa, not a requirement. If a specific NGO, government, or investor partner has an existing cloud commitment (common with development-funder relationships), the architecture should adapt to it — the layers above are cloud-agnostic in design even though specific services are named.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3.2  Environment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4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Local Docker Compose stack (Postgres, Redis, FastAPI) + Flutter emulator/simulator</w:t>
            </w:r>
          </w:p>
        </w:tc>
      </w:tr>
      <w:tr>
        <w:tc>
          <w:tcPr>
            <w:tcW w:type="dxa" w:w="26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Staging</w:t>
            </w:r>
          </w:p>
        </w:tc>
        <w:tc>
          <w:tcPr>
            <w:tcW w:type="dxa" w:w="64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Mirrors production at reduced scale; used for pilot-partner demos and QA before each release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Production (Pilot)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Single-region AWS deployment sized for the 200–1,000 farmer pilot cohort</w:t>
            </w:r>
          </w:p>
        </w:tc>
      </w:tr>
      <w:tr>
        <w:tc>
          <w:tcPr>
            <w:tcW w:type="dxa" w:w="26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Production (Scale)</w:t>
            </w:r>
          </w:p>
        </w:tc>
        <w:tc>
          <w:tcPr>
            <w:tcW w:type="dxa" w:w="64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Multi-AZ, autoscaled — activated only once Phase 1 regional-scale milestone gates (per the GTM addendum) are met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4CAF50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08D2B"/>
          <w:sz w:val="32"/>
          <w:szCs w:val="32"/>
        </w:rPr>
        <w:t xml:space="preserve">4  </w:t>
      </w: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Implementation Timeline</w:t>
      </w:r>
    </w:p>
    <w:p>
      <w:pPr>
        <w:spacing w:after="160" w:line="276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timeline below targets a Phase 0 pilot launch (per the Go-to-Market addendum) and assumes a small core team (see Team &amp; Execution Plan) working in parallel tracks rather than in strict sequence. Durations are indicative and should be re-baselined once the team and pilot region are confirmed.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4.1  Roadmap to Pilot Launch (~24 Weeks)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00"/>
      </w:tblGrid>
      <w:tr>
        <w:trPr>
          <w:tblHeader/>
        </w:trPr>
        <w:tc>
          <w:tcPr>
            <w:tcW w:type="dxa" w:w="14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6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0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1 – 4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Architecture finalized, AWS/Firebase environments provisioned, repo + CI/CD scaffolding, pilot region &amp; crop confirmed, data-partner agreements initiated</w:t>
            </w:r>
          </w:p>
        </w:tc>
      </w:tr>
      <w:tr>
        <w:tc>
          <w:tcPr>
            <w:tcW w:type="dxa" w:w="14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 – 10</w:t>
            </w:r>
          </w:p>
        </w:tc>
        <w:tc>
          <w:tcPr>
            <w:tcW w:type="dxa" w:w="26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5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Auth, farm profile &amp; crop tracking, FastAPI backend skeleton, Flutter app shell + navigation, weather module integration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7 – 16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AI Crop Intelligence v1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Baseline vision model trained on public datasets, local data collection underway, image upload + diagnosis flow, on-device model export, active-learning review queue</w:t>
            </w:r>
          </w:p>
        </w:tc>
      </w:tr>
      <w:tr>
        <w:tc>
          <w:tcPr>
            <w:tcW w:type="dxa" w:w="14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12 – 18</w:t>
            </w:r>
          </w:p>
        </w:tc>
        <w:tc>
          <w:tcPr>
            <w:tcW w:type="dxa" w:w="26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Advisory &amp; Market Modules</w:t>
            </w:r>
          </w:p>
        </w:tc>
        <w:tc>
          <w:tcPr>
            <w:tcW w:type="dxa" w:w="5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LLM advisory chat with RAG knowledge base, market price tracking, notifications system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16 – 20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Offline-First &amp; Channels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Store-and-forward sync, SMS/USSD channel via Africa's Talking, multilingual UI for the pilot language</w:t>
            </w:r>
          </w:p>
        </w:tc>
      </w:tr>
      <w:tr>
        <w:tc>
          <w:tcPr>
            <w:tcW w:type="dxa" w:w="14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18 – 22</w:t>
            </w:r>
          </w:p>
        </w:tc>
        <w:tc>
          <w:tcPr>
            <w:tcW w:type="dxa" w:w="26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Trust &amp; Review Tooling</w:t>
            </w:r>
          </w:p>
        </w:tc>
        <w:tc>
          <w:tcPr>
            <w:tcW w:type="dxa" w:w="5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Extension-officer review dashboard, confidence-threshold routing, in-app disclaimers, escalation pathway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20 – 23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Hardening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Security review, load testing at pilot scale, QA pass, App Store / Play Store submission</w:t>
            </w:r>
          </w:p>
        </w:tc>
      </w:tr>
      <w:tr>
        <w:tc>
          <w:tcPr>
            <w:tcW w:type="dxa" w:w="14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Phase 0 Pilot Launch</w:t>
            </w:r>
          </w:p>
        </w:tc>
        <w:tc>
          <w:tcPr>
            <w:tcW w:type="dxa" w:w="5000"/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200–1,000 farmer cohort onboarded in the target region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4.2  Post-Launch (Months 6 –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Continuous active-learning retraining as pilot data accumulates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Weekly monitoring against the KPIs defined in the Business Model addendum (diagnostic accuracy, retention, DAU/MAU, NPS)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Mid-pilot iteration checkpoint (~month 3 of pilot) to adjust UX, model thresholds, and channel mix based on real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Milestone-gate review at end of growing season to decide Phase 1 (regional scale) go/no-go</w:t>
      </w:r>
    </w:p>
    <w:p>
      <w:pPr>
        <w:spacing w:after="100"/>
      </w:pPr>
    </w:p>
    <w:p>
      <w:pPr>
        <w:pBdr>
          <w:left w:val="single" w:color="1565C0" w:sz="18" w:space="8"/>
        </w:pBdr>
        <w:shd w:fill="E3F2FD" w:val="clear"/>
        <w:spacing w:after="200" w:before="120"/>
        <w:ind w:left="36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Planning Assumption:  </w:t>
      </w:r>
      <w:r>
        <w:rPr>
          <w:rFonts w:ascii="Calibri" w:cs="Calibri" w:eastAsia="Calibri" w:hAnsi="Calibri"/>
          <w:i/>
          <w:iCs/>
          <w:color w:val="212121"/>
          <w:sz w:val="20"/>
          <w:szCs w:val="20"/>
        </w:rPr>
        <w:t xml:space="preserve">This timeline assumes the core team outlined in the Business Model addendum (ML engineer, backend/mobile engineers, agronomist, partnerships lead, field ops coordinator) is in place by Week 1. A smaller team will extend these durations roughly linearly — plan accordingly during hiring/partner negotiations.</w:t>
      </w:r>
    </w:p>
    <w:p>
      <w:pPr>
        <w:pStyle w:val="Heading1"/>
        <w:pBdr>
          <w:bottom w:val="single" w:color="4CAF50" w:sz="12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B08D2B"/>
          <w:sz w:val="32"/>
          <w:szCs w:val="32"/>
        </w:rPr>
        <w:t xml:space="preserve"/>
      </w: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Closing Note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i/>
          <w:iCs/>
          <w:color w:val="1B5E20"/>
          <w:sz w:val="22"/>
          <w:szCs w:val="22"/>
        </w:rPr>
        <w:t xml:space="preserve">This stack is deliberately conservative where the risk is highest — data acquisition and offline reliability — and deliberately lean where speed matters — using managed services (Firebase, SageMaker, RDS) instead of building undifferentiated infrastructure. The goal is to reach a working, trustworthy pilot in one growing season, not to over-engineer for a scale the platform hasn't earned yet.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368"/>
        <w:sz w:val="18"/>
        <w:szCs w:val="18"/>
      </w:rPr>
      <w:t xml:space="preserve">Page </w:t>
    </w:r>
    <w:r>
      <w:rPr>
        <w:rFonts w:ascii="Calibri" w:cs="Calibri" w:eastAsia="Calibri" w:hAnsi="Calibri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368"/>
        <w:sz w:val="18"/>
        <w:szCs w:val="18"/>
      </w:rPr>
      <w:t xml:space="preserve"> of </w:t>
    </w:r>
    <w:r>
      <w:rPr>
        <w:rFonts w:ascii="Calibri" w:cs="Calibri" w:eastAsia="Calibri" w:hAnsi="Calibri"/>
        <w:color w:val="5F63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E6C9" w:sz="6" w:space="4"/>
      </w:pBdr>
      <w:tabs>
        <w:tab w:val="right" w:pos="9026"/>
      </w:tabs>
    </w:pPr>
    <w:r>
      <w:rPr>
        <w:rFonts w:ascii="Calibri" w:cs="Calibri" w:eastAsia="Calibri" w:hAnsi="Calibri"/>
        <w:color w:val="2E7D32"/>
        <w:sz w:val="16"/>
        <w:szCs w:val="16"/>
      </w:rPr>
      <w:t xml:space="preserve">ShambaAI — Technical Architecture &amp; Stack Addendum</w:t>
    </w:r>
    <w:r>
      <w:rPr>
        <w:rFonts w:ascii="Calibri" w:cs="Calibri" w:eastAsia="Calibri" w:hAnsi="Calibri"/>
        <w:color w:val="5F6368"/>
        <w:sz w:val="16"/>
        <w:szCs w:val="16"/>
      </w:rPr>
      <w:t xml:space="preserve">	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color w:val="2E7D32"/>
      </w:rPr>
    </w:lvl>
    <w:lvl w:ilvl="1" w15:tentative="1">
      <w:start w:val="1"/>
      <w:numFmt w:val="bullet"/>
      <w:lvlText w:val="○"/>
      <w:lvlJc w:val="left"/>
      <w:pPr>
        <w:ind w:left="820" w:hanging="260"/>
      </w:pPr>
      <w:rPr>
        <w:color w:val="4CAF5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ShambaAI — Technical Architecture, Stack &amp; Implementation Roadmap</dc:title>
  <dc:creator>ShambaAI Project</dc:creator>
  <cp:lastModifiedBy>Un-named</cp:lastModifiedBy>
  <cp:revision>1</cp:revision>
  <dcterms:created xsi:type="dcterms:W3CDTF">2026-07-03T11:32:38.161Z</dcterms:created>
  <dcterms:modified xsi:type="dcterms:W3CDTF">2026-07-03T11:32:38.176Z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