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66534"/>
          <w:sz w:val="48"/>
          <w:szCs w:val="48"/>
        </w:rPr>
        <w:t xml:space="preserve">GREENFLAME</w:t>
      </w:r>
    </w:p>
    <w:p>
      <w:pPr>
        <w:spacing w:after="80" w:before="120"/>
        <w:jc w:val="center"/>
      </w:pPr>
      <w:r>
        <w:rPr>
          <w:b/>
          <w:bCs/>
          <w:color w:val="16A34A"/>
          <w:sz w:val="34"/>
          <w:szCs w:val="34"/>
        </w:rPr>
        <w:t xml:space="preserve">Programme de lancement</w:t>
      </w:r>
    </w:p>
    <w:p>
      <w:pPr>
        <w:spacing w:after="600"/>
        <w:jc w:val="center"/>
      </w:pPr>
      <w:r>
        <w:rPr>
          <w:i/>
          <w:iCs/>
          <w:color w:val="6B7280"/>
          <w:sz w:val="24"/>
          <w:szCs w:val="24"/>
        </w:rPr>
        <w:t xml:space="preserve">Note de logique stratégique — pourquoi ce chronogramme est construit ainsi</w:t>
      </w:r>
    </w:p>
    <w:p>
      <w:pPr>
        <w:spacing w:before="1600"/>
        <w:jc w:val="center"/>
      </w:pPr>
      <w:r>
        <w:rPr>
          <w:color w:val="6B7280"/>
          <w:sz w:val="20"/>
          <w:szCs w:val="20"/>
        </w:rPr>
        <w:t xml:space="preserve">Document compagnon du fichier GreenFlame_Chronogramme_Lancement.xlsx</w:t>
      </w:r>
    </w:p>
    <w:p>
      <w:pPr>
        <w:spacing w:before="80"/>
        <w:jc w:val="center"/>
      </w:pPr>
      <w:r>
        <w:rPr>
          <w:color w:val="6B7280"/>
          <w:sz w:val="20"/>
          <w:szCs w:val="20"/>
        </w:rPr>
        <w:t xml:space="preserve">Usage interne — équipe de direction et référents de programme</w:t>
      </w:r>
    </w:p>
    <w:p>
      <w:r>
        <w:br w:type="page"/>
      </w:r>
    </w:p>
    <w:p>
      <w:pPr>
        <w:pStyle w:val="Heading1"/>
      </w:pPr>
      <w:r>
        <w:t xml:space="preserve">Pourquoi ce document</w:t>
      </w:r>
    </w:p>
    <w:p>
      <w:pPr>
        <w:spacing w:after="160"/>
      </w:pPr>
      <w:r>
        <w:t xml:space="preserve">Le chronogramme (fichier Excel) répond à la question « quoi, quand, qui ». Cette note répond à la question que les chiffres et les cases ne montrent pas : « pourquoi cet ordre, pourquoi ce rythme, pourquoi ces choix ». Elle s'adresse à toute personne qui devra défendre, ajuster ou exécuter le programme — pour qu'elle comprenne la logique d'ensemble et ne traite pas chaque phase comme une case isolée à cocher.</w:t>
      </w:r>
    </w:p>
    <w:p>
      <w:pPr>
        <w:spacing w:after="160"/>
      </w:pPr>
      <w:r>
        <w:t xml:space="preserve">Trois fils conducteurs traversent l'ensemble du programme et expliquent presque tous les choix de séquencement :</w:t>
      </w:r>
    </w:p>
    <w:p>
      <w:pPr>
        <w:pStyle w:val="ListParagraph"/>
        <w:numPr>
          <w:ilvl w:val="0"/>
          <w:numId w:val="2"/>
        </w:numPr>
        <w:spacing w:after="80"/>
      </w:pPr>
      <w:r>
        <w:t xml:space="preserve">Un « démarrage explosif » ne se décrète pas : il se prépare en silence, puis se déclenche avec deux moteurs qui tournent en même temps dès le premier jour.</w:t>
      </w:r>
    </w:p>
    <w:p>
      <w:pPr>
        <w:pStyle w:val="ListParagraph"/>
        <w:numPr>
          <w:ilvl w:val="0"/>
          <w:numId w:val="2"/>
        </w:numPr>
        <w:spacing w:after="80"/>
      </w:pPr>
      <w:r>
        <w:t xml:space="preserve">La confiance se construit du petit cercle vers le grand cercle : on ne mobilise pas 1000 marchands avant d'avoir validé le mécanisme sur 100.</w:t>
      </w:r>
    </w:p>
    <w:p>
      <w:pPr>
        <w:pStyle w:val="ListParagraph"/>
        <w:numPr>
          <w:ilvl w:val="0"/>
          <w:numId w:val="2"/>
        </w:numPr>
        <w:spacing w:after="80"/>
      </w:pPr>
      <w:r>
        <w:t xml:space="preserve">GreenFlame se positionne comme un partenaire de la formalisation économique — jamais comme un adversaire de l'État ou des institutions. Cette ligne directrice infuse jusque dans le choix des mots utilisés sur le terrain et dans les contenus diffusés.</w:t>
      </w:r>
    </w:p>
    <w:p>
      <w:pPr>
        <w:pStyle w:val="Heading1"/>
      </w:pPr>
      <w:r>
        <w:t xml:space="preserve">Phase 0 — Préparation finale (S-3 → S-1) : pourquoi ne rien laisser au hasard du Jour J</w:t>
      </w:r>
    </w:p>
    <w:p>
      <w:pPr>
        <w:spacing w:after="160"/>
      </w:pPr>
      <w:r>
        <w:t>Cette phase ne produit aucun résultat visible pour le marché — et c'est précisément son rôle. Un lancement « explosif » qui s'appuie sur des leaders de réseau est un pari à effet de levier : si le socle (tests, équipe, matériel, zone pilote) n'est pas solide au moment où les premiers Kingmakers commencent leurs premières activations, l'effet de levier joue dans les deux sens — il amplifie aussi bien les failles que les réussites.</w:t>
      </w:r>
    </w:p>
    <w:p>
      <w:pPr>
        <w:spacing w:after="160"/>
      </w:pPr>
      <w:r>
        <w:t xml:space="preserve">La réunion « Go / No-Go » qui clôture cette phase n'est pas une formalité administrative. C'est le seul moment du programme où l'on peut encore dire « pas encore » sans coût réputationnel. Une fois S0 déclenché, et les Kingmakers activés, revenir en arrière coûte beaucoup plus cher que d'attendre une semaine de plus.</w:t>
      </w:r>
    </w:p>
    <w:p>
      <w:pPr>
        <w:pStyle w:val="Heading3"/>
      </w:pPr>
      <w:r>
        <w:t xml:space="preserve">Pourquoi pré-approcher les Kingmakers avant de les former (et pas après)</w:t>
      </w:r>
    </w:p>
    <w:p>
      <w:pPr>
        <w:spacing w:after="160"/>
      </w:pPr>
      <w:r>
        <w:t xml:space="preserve">Le chronogramme prévoit un premier contact informel avec 15 à 20 leaders pressentis dès la Phase 0, bien avant les sessions de formation de la Phase 1. L'objectif est double : d'une part, mesurer l'intérêt réel et ajuster la liste avant d'investir du temps de formation ; d'autre part, semer — sans encore tout dévoiler — l'idée que quelque chose se prépare. Cela s'inscrit dans la même logique que la doctrine « Invisible Preparation » appliquée au contenu : la préparation précède toujours l'annonce, et elle se fait à bas bruit.</w:t>
      </w:r>
    </w:p>
    <w:p>
      <w:pPr>
        <w:pStyle w:val="Heading1"/>
      </w:pPr>
      <w:r>
        <w:t xml:space="preserve">Phases 1 et 2 — Pourquoi elles démarrent ensemble, à S1, et pas l'une après l'autre</w:t>
      </w:r>
    </w:p>
    <w:p>
      <w:pPr>
        <w:spacing w:after="160"/>
      </w:pPr>
      <w:r>
        <w:t xml:space="preserve">C'est le choix de séquencement le plus important du programme, et celui qui mérite le plus d'être expliqué — car l'intuition pousserait à les enchaîner plutôt qu'à les superposer.</w:t>
      </w:r>
    </w:p>
    <w:p>
      <w:pPr>
        <w:pBdr>
          <w:left w:val="single" w:color="16A34A" w:sz="18" w:space="8"/>
        </w:pBdr>
        <w:spacing w:after="160" w:before="120"/>
        <w:ind w:left="720"/>
      </w:pPr>
      <w:r>
        <w:rPr>
          <w:i/>
          <w:iCs/>
          <w:color w:val="6B7280"/>
        </w:rPr>
        <w:t xml:space="preserve">« Cela crée un double moteur dès la première semaine, au lieu d'attendre qu'un canal soit mature avant de lancer l'autre. » — logique retenue pour le chronogramme</w:t>
      </w:r>
    </w:p>
    <w:p>
      <w:pPr>
        <w:spacing w:after="160"/>
      </w:pPr>
      <w:r>
        <w:t xml:space="preserve">Deux options étaient possibles : former d'abord les Kingmakers, attendre qu'ils soient opérationnels, puis lancer l'équipe commerciale (séquentiel) ; ou bien faire monter les deux canaux en compétence en parallèle, chacun à son rythme propre (parallèle). Le choix du parallèle répond directement à l'objectif énoncé du « démarrage explosif » :</w:t>
      </w:r>
    </w:p>
    <w:p>
      <w:pPr>
        <w:pStyle w:val="ListParagraph"/>
        <w:numPr>
          <w:ilvl w:val="0"/>
          <w:numId w:val="2"/>
        </w:numPr>
        <w:spacing w:after="80"/>
      </w:pPr>
      <w:r>
        <w:t xml:space="preserve">Un canal qui démarre seul prend un rythme de croisière modeste — il n'a personne à qui se comparer, personne avec qui créer un effet d'entraînement collectif.</w:t>
      </w:r>
    </w:p>
    <w:p>
      <w:pPr>
        <w:pStyle w:val="ListParagraph"/>
        <w:numPr>
          <w:ilvl w:val="0"/>
          <w:numId w:val="2"/>
        </w:numPr>
        <w:spacing w:after="80"/>
      </w:pPr>
      <w:r>
        <w:t>Deux canaux qui démarrent ensemble créent une dynamique de compétition saine et de validation croisée : les Kingmakers voient que l'équipe commerciale onboarde des marchands en parallèle de leur propre activation de filleuls, ce qui rend le projet tangible plus vite et confirme à chacun qu'il ne porte pas seul le pari.</w:t>
      </w:r>
    </w:p>
    <w:p>
      <w:pPr>
        <w:pStyle w:val="ListParagraph"/>
        <w:numPr>
          <w:ilvl w:val="0"/>
          <w:numId w:val="2"/>
        </w:numPr>
        <w:spacing w:after="80"/>
      </w:pPr>
      <w:r>
        <w:t xml:space="preserve">Sur le plan opérationnel, cela évite un goulot d'étranglement : si l'équipe commerciale onboarde des marchands avant que le réseau de Kingmakers ne produise des consommateurs actifs (ou l'inverse), l'autre canal se retrouve à pousser un système qui n'a pas encore de contrepartie. Démarrer ensemble, c'est construire l'offre et la demande au même rythme.</w:t>
      </w:r>
    </w:p>
    <w:p>
      <w:pPr>
        <w:pStyle w:val="Heading3"/>
      </w:pPr>
      <w:r>
        <w:t xml:space="preserve">Le risque assumé, et pourquoi il est acceptable</w:t>
      </w:r>
    </w:p>
    <w:p>
      <w:pPr>
        <w:spacing w:after="160"/>
      </w:pPr>
      <w:r>
        <w:t xml:space="preserve">Faire avancer deux chantiers en même temps demande plus de coordination de la part de l'équipe centrale (Aurel + référents). C'est un coût réel. Mais le chronogramme part du principe que ce coût de coordination, concentré sur 2 à 3 semaines, est largement inférieur au coût d'opportunité d'un canal qui resterait à l'arrêt en attendant que l'autre soit prêt — surtout dans un lancement où l'effet d'entraînement initial conditionne une bonne partie de la suite.</w:t>
      </w:r>
    </w:p>
    <w:p>
      <w:pPr>
        <w:pStyle w:val="Heading3"/>
      </w:pPr>
      <w:r>
        <w:t xml:space="preserve">Phase 1 — Kingmakers : pourquoi des petits groupes, et un suivi individuel dès le départ</w:t>
      </w:r>
    </w:p>
    <w:p>
      <w:pPr>
        <w:spacing w:after="160"/>
      </w:pPr>
      <w:r>
        <w:t>Les sessions de formation sont volontairement limitées à 5-8 personnes. Un groupe restreint permet d'adapter le discours en direct, de répondre aux objections une par une, et de transmettre un sentiment d'exclusivité cohérent avec le statut de « Kingmaker » — celui qui élève, pas celui qui domine. Le suivi individuel mis en place dès cette phase (qui active, à quel rythme, avec quel discours) n'est pas un outil de contrôle : c'est la matière première qui permettra, dès la Phase 3, d'identifier les discours qui fonctionnent vraiment sur le terrain et de les généraliser.</w:t>
      </w:r>
    </w:p>
    <w:p>
      <w:pPr>
        <w:pStyle w:val="Heading3"/>
      </w:pPr>
      <w:r>
        <w:t xml:space="preserve">Phase 2 — Équipe commerciale : pourquoi le doublonnage et le débrief quotidien</w:t>
      </w:r>
    </w:p>
    <w:p>
      <w:pPr>
        <w:spacing w:after="160"/>
      </w:pPr>
      <w:r>
        <w:t xml:space="preserve">La formation initiale (2-3 jours) ne suffit jamais à elle seule à rendre une équipe opérationnelle face à de vrais marchands, avec leurs vraies objections. Le programme prévoit donc un accompagnement terrain en doublon dès la première semaine — un référent senior accompagne chaque nouveau commercial sur ses premiers rendez-vous — puis un débrief quotidien qui permet d'ajuster l'argumentaire en continu. Cette boucle courte (terrain → débrief → ajustement → terrain) est ce qui transforme un script appris par cœur en un argumentaire qui convainc vraiment, parce qu'il aura été éprouvé au contact réel des objections du terrain.</w:t>
      </w:r>
    </w:p>
    <w:p>
      <w:pPr>
        <w:pStyle w:val="Heading1"/>
      </w:pPr>
      <w:r>
        <w:t xml:space="preserve">Phase 3 — Pilote en zone test (S3 → S6) : pourquoi rester petit avant de viser grand</w:t>
      </w:r>
    </w:p>
    <w:p>
      <w:pPr>
        <w:spacing w:after="160"/>
      </w:pPr>
      <w:r>
        <w:t xml:space="preserve">Le choix de circonscrire le pilote à une seule zone, avec des objectifs volontairement modestes (100-150 marchands, 500-1000 consommateurs), peut sembler en tension avec l'ambition d'un « démarrage explosif ». Ce n'est pas une contradiction — c'est une condition de l'explosion elle-même.</w:t>
      </w:r>
    </w:p>
    <w:p>
      <w:pPr>
        <w:pStyle w:val="ListParagraph"/>
        <w:numPr>
          <w:ilvl w:val="0"/>
          <w:numId w:val="2"/>
        </w:numPr>
        <w:spacing w:after="80"/>
      </w:pPr>
      <w:r>
        <w:t xml:space="preserve">Un « démarrage explosif » mal préparé qui se heurte à des problèmes de produit, de discours ou de logistique à grande échelle se voit immédiatement, se raconte vite, et coûte cher à corriger après coup.</w:t>
      </w:r>
    </w:p>
    <w:p>
      <w:pPr>
        <w:pStyle w:val="ListParagraph"/>
        <w:numPr>
          <w:ilvl w:val="0"/>
          <w:numId w:val="2"/>
        </w:numPr>
        <w:spacing w:after="80"/>
      </w:pPr>
      <w:r>
        <w:t xml:space="preserve">Un pilote concentré permet de détecter ces problèmes sur un périmètre maîtrisé, de les corriger discrètement, puis de lancer la phase d'expansion (Phase 4) avec un modèle déjà éprouvé — c'est à ce moment-là que l'« explosion » devient possible, parce qu'elle s'appuie sur quelque chose qui fonctionne déjà, et non sur un pari encore incertain.</w:t>
      </w:r>
    </w:p>
    <w:p>
      <w:pPr>
        <w:spacing w:after="160"/>
      </w:pPr>
      <w:r>
        <w:t xml:space="preserve">Le suivi quotidien des indicateurs (taux de rétention, volume de transactions, qualité de l'onboarding) sert exactement à cela : transformer le pilote en un laboratoire d'apprentissage rapide, dont les enseignements nourrissent directement la qualité de la Phase 4.</w:t>
      </w:r>
    </w:p>
    <w:p>
      <w:pPr>
        <w:pStyle w:val="Heading3"/>
      </w:pPr>
      <w:r>
        <w:t xml:space="preserve">L'articulation avec le calendrier de contenu « La Valeur qui Fuit »</w:t>
      </w:r>
    </w:p>
    <w:p>
      <w:pPr>
        <w:spacing w:after="160"/>
      </w:pPr>
      <w:r>
        <w:t xml:space="preserve">C'est en Phase 3 que démarre la diffusion publique du calendrier éditorial construit autour du pilier « La Valeur qui Fuit » — le repositionnement neutre et non accusatoire qui remplace l'approche initiale plus frontale. Ce choix de calendrier n'est pas anodin : il permet à la diffusion de contenu de précéder et d'accompagner le pilote terrain, de sorte que lorsque les premiers marchands et consommateurs découvrent GreenFlame, le terrain psychologique a déjà commencé à être préparé — sans jamais nommer, accuser ou opposer GreenFlame à l'État ou aux institutions fiscales. Le message central reste : « la valeur que nos communautés créent chaque jour n'a pas encore d'infrastructure pour rester parmi nous » — une observation, pas une accusation.</w:t>
      </w:r>
    </w:p>
    <w:p>
      <w:pPr>
        <w:pBdr>
          <w:left w:val="single" w:color="16A34A" w:sz="18" w:space="8"/>
        </w:pBdr>
        <w:spacing w:after="160" w:before="120"/>
        <w:ind w:left="720"/>
      </w:pPr>
      <w:r>
        <w:rPr>
          <w:i/>
          <w:iCs/>
          <w:color w:val="6B7280"/>
        </w:rPr>
        <w:t xml:space="preserve">Rappel de la ligne directrice : GreenFlame a besoin de l'État pour s'installer, fonctionner et grandir. L'objectif est d'en faire un partenaire, jamais un adversaire — dans le discours terrain comme dans le contenu diffusé.</w:t>
      </w:r>
    </w:p>
    <w:p>
      <w:pPr>
        <w:pStyle w:val="Heading1"/>
      </w:pPr>
      <w:r>
        <w:t xml:space="preserve">Phase 4 — Activation grand public (S6 → S10) : transformer un succès local en dynamique durable</w:t>
      </w:r>
    </w:p>
    <w:p>
      <w:pPr>
        <w:spacing w:after="160"/>
      </w:pPr>
      <w:r>
        <w:t>Cette phase ne consiste pas à « refaire la Phase 3 en plus grand ». Elle s'appuie sur trois leviers que la Phase 3 aura permis de calibrer : un modèle d'onboarding éprouvé (donc une équipe commerciale renforcée selon des critères connus, pas au hasard) ; un premier cercle de Kingmakers actifs qui peuvent désormais activer et superviser un second cercle (l'effet réseau qui s'auto-alimente) ; et un contenu dont l'impact réel aura été mesuré pendant le pilote, et qui peut donc être intensifié en confiance plutôt qu'à l'aveugle.</w:t>
      </w:r>
    </w:p>
    <w:p>
      <w:pPr>
        <w:spacing w:after="160"/>
      </w:pPr>
      <w:r>
        <w:t xml:space="preserve">C'est également à ce stade que le programme prévoit les premiers contacts exploratoires avec des partenaires institutionnels — dans la continuité directe du positionnement « partenaire de la formalisation économique ». Le moment est choisi avec soin : approcher des institutions avant d'avoir des résultats concrets à présenter aurait peu de poids ; attendre la Phase 5 pour le faire retarderait inutilement la construction de relations qui prennent du temps à mûrir.</w:t>
      </w:r>
    </w:p>
    <w:p>
      <w:pPr>
        <w:pStyle w:val="Heading1"/>
      </w:pPr>
      <w:r>
        <w:t xml:space="preserve">Phase 5 — Consolidation et structuration (S10 et au-delà) : passer du mode « lancement » au mode « opération pérenne »</w:t>
      </w:r>
    </w:p>
    <w:p>
      <w:pPr>
        <w:spacing w:after="160"/>
      </w:pPr>
      <w:r>
        <w:t xml:space="preserve">Un programme de lancement réussi produit, presque par définition, une organisation qui a grandi plus vite que sa propre structure. La Phase 5 est le moment où l'on prend du recul pour transformer l'élan acquis en fondations solides : analyse complète des données accumulées depuis S0, structuration formelle des équipes (organigramme, processus, outils de pilotage), construction d'un plan d'expansion géographique réfléchi plutôt qu'opportuniste, et recherche active de partenariats stratégiques — y compris, à ce stade avec des résultats à l'appui, avec les institutions et l'État.</w:t>
      </w:r>
    </w:p>
    <w:p>
      <w:pPr>
        <w:spacing w:after="160"/>
      </w:pPr>
      <w:r>
        <w:t xml:space="preserve">Cette phase n'a volontairement pas de date de fin dans le chronogramme : elle marque l'entrée de GreenFlame dans un mode de fonctionnement régulier, où le pilotage par chronogramme de lancement cède la place à un pilotage d'exploitation classique.</w:t>
      </w:r>
    </w:p>
    <w:p>
      <w:pPr>
        <w:pStyle w:val="Heading1"/>
      </w:pPr>
      <w:r>
        <w:t xml:space="preserve">Ce que ce programme ne fixe pas — et pourquoi c'est volontaire</w:t>
      </w:r>
    </w:p>
    <w:p>
      <w:pPr>
        <w:spacing w:after="160"/>
      </w:pPr>
      <w:r>
        <w:t xml:space="preserve">Les chiffres cibles mentionnés (nombre de Kingmakers, de marchands, de consommateurs) sont des ordres de grandeur de travail destinés à donner une direction et une mesure du succès, pas des objectifs contractuels gravés dans le marbre. Ils devront être recalibrés juste après le Go/No-Go, en fonction des ressources réellement mobilisées : taille définitive de l'équipe terrain, budget alloué au contenu, caractéristiques propres à la zone pilote choisie.</w:t>
      </w:r>
    </w:p>
    <w:p>
      <w:pPr>
        <w:spacing w:after="160"/>
      </w:pPr>
      <w:r>
        <w:t xml:space="preserve">De la même manière, les durées sont exprimées en semaines relatives à « S0 » — la semaine de déclenchement officiel, qui ne sera fixée qu'une fois les tests validés. Ce choix évite de figer des dates qui deviendraient obsolètes avant même le lancement, et place la validation des tests à sa juste place : non pas comme une étape parmi d'autres, mais comme la condition même qui déclenche tout le reste.</w:t>
      </w:r>
    </w:p>
    <w:p>
      <w:pPr>
        <w:pBdr>
          <w:bottom w:val="single" w:color="BBF7D0" w:sz="6" w:space="1"/>
        </w:pBdr>
        <w:spacing w:after="220" w:before="100"/>
      </w:pPr>
    </w:p>
    <w:p>
      <w:pPr>
        <w:spacing w:after="160"/>
      </w:pPr>
      <w:r>
        <w:rPr>
          <w:i/>
          <w:iCs/>
          <w:color w:val="6B7280"/>
          <w:sz w:val="20"/>
          <w:szCs w:val="20"/>
        </w:rPr>
        <w:t xml:space="preserve">Document à lire en complément du fichier GreenFlame_Chronogramme_Lancement.xlsx (planning détaillé, responsables, indicateurs) et de la checklist de tests GreenFlame_Checklist_Test.html (condition de déclenchement de S0).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F7D0" w:sz="4" w:space="4"/>
      </w:pBdr>
    </w:pPr>
    <w:r>
      <w:rPr>
        <w:color w:val="6B7280"/>
        <w:sz w:val="18"/>
        <w:szCs w:val="18"/>
      </w:rPr>
      <w:t xml:space="preserve">GreenFlame — Programme de lancement : note de logique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6653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6A3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1182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GreenFlame — Logique stratégique du programme de lancement</dc:title>
  <dc:creator>Aurel</dc:creator>
  <cp:lastModifiedBy>Un-named</cp:lastModifiedBy>
  <cp:revision>1</cp:revision>
  <dcterms:created xsi:type="dcterms:W3CDTF">2026-06-08T11:06:15.309Z</dcterms:created>
  <dcterms:modified xsi:type="dcterms:W3CDTF">2026-06-08T11:06:15.354Z</dcterms:modified>
</cp:coreProperties>
</file>

<file path=docProps/custom.xml><?xml version="1.0" encoding="utf-8"?>
<Properties xmlns="http://schemas.openxmlformats.org/officeDocument/2006/custom-properties" xmlns:vt="http://schemas.openxmlformats.org/officeDocument/2006/docPropsVTypes"/>
</file>