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2E9DA" w14:textId="2F989067" w:rsidR="00786103" w:rsidRDefault="00786103" w:rsidP="00786103">
      <w:r>
        <w:t>La diabetes es una enfermedad crónica que se caracteriza por niveles elevados de glucosa en la sangre. Ocurre cuando el cuerpo no produce suficiente insulina (una hormona elaborada por el páncreas que permite que la glucosa pase de los alimentos a las células para ser utilizada para sintetizar energía</w:t>
      </w:r>
      <w:r w:rsidRPr="00044904">
        <w:rPr>
          <w:color w:val="EE0000"/>
        </w:rPr>
        <w:t>).</w:t>
      </w:r>
      <w:r w:rsidR="00FD774B" w:rsidRPr="00044904">
        <w:rPr>
          <w:color w:val="EE0000"/>
        </w:rPr>
        <w:t xml:space="preserve"> La insulina es segregada por las células beta ubicadas en los islotes de Langerhans (la parte endocrina del páncreas).</w:t>
      </w:r>
    </w:p>
    <w:p w14:paraId="37AD1F15" w14:textId="1DE79FA2" w:rsidR="00FD774B" w:rsidRDefault="00786103" w:rsidP="00FD774B">
      <w:r>
        <w:t>El mecanismo principal de la diabetes es: la insulina tiene función reguladora en los receptores de la célula</w:t>
      </w:r>
      <w:r w:rsidR="00044904">
        <w:t xml:space="preserve"> (células diana músculo esquelético, tejido adiposo e hígado)</w:t>
      </w:r>
      <w:r>
        <w:t>, permitiendo que la glucosa pase al interior de la célula.</w:t>
      </w:r>
    </w:p>
    <w:p w14:paraId="319EE0C6" w14:textId="59E3D8AD" w:rsidR="00FD774B" w:rsidRDefault="00786103" w:rsidP="00FD774B">
      <w:r>
        <w:t>En la diabetes</w:t>
      </w:r>
      <w:r w:rsidR="00FD774B">
        <w:t xml:space="preserve"> tipo 1</w:t>
      </w:r>
      <w:r>
        <w:t>, el páncreas no produce suficiente insulina</w:t>
      </w:r>
      <w:r w:rsidR="00FD774B">
        <w:t>, por consecuencia, esta no entra al interior de la célula y genera falta de energía. Extracelularmente (en sangre) se produce una hiperglucemia: se acumula la glucosa en el torrente sanguíneo, en niveles muy elevados.</w:t>
      </w:r>
    </w:p>
    <w:p w14:paraId="4C41BDF5" w14:textId="27093DCF" w:rsidR="00044904" w:rsidRDefault="00FD774B" w:rsidP="00FD774B">
      <w:r>
        <w:t xml:space="preserve">En </w:t>
      </w:r>
      <w:proofErr w:type="gramStart"/>
      <w:r>
        <w:t>la tipo</w:t>
      </w:r>
      <w:proofErr w:type="gramEnd"/>
      <w:r>
        <w:t xml:space="preserve"> 2: es la célula la que no responde bien a la hormona, hay resistencia a la insulina. El páncreas continúa produciendo….</w:t>
      </w:r>
    </w:p>
    <w:p w14:paraId="30309001" w14:textId="5362C158" w:rsidR="00FA0C92" w:rsidRDefault="008709A4" w:rsidP="00FD774B">
      <w:r>
        <w:t xml:space="preserve">La relación entre la MODY2 y la diabetes es: De manera vulgar, la insulina actúa como un sensor. El sensor en condiciones </w:t>
      </w:r>
      <w:proofErr w:type="gramStart"/>
      <w:r>
        <w:t>normales,</w:t>
      </w:r>
      <w:proofErr w:type="gramEnd"/>
      <w:r>
        <w:t xml:space="preserve"> tiene que estar </w:t>
      </w:r>
      <w:r w:rsidR="00770B67">
        <w:t>entre los 70 y 100</w:t>
      </w:r>
      <w:r>
        <w:t>mg y en MODY2 está a 120mg. A pesar de que, se considera hiperglucemia grave a 140mg</w:t>
      </w:r>
      <w:r w:rsidR="00770B67">
        <w:t>/Dl.</w:t>
      </w:r>
      <w:r>
        <w:t xml:space="preserve"> Es decir, la persona que tenga la hexoquinasa IV alterada, tendrá hiperglucemia, no será grave, así que se considera una hiperglucemia estable que no es peligrosa</w:t>
      </w:r>
      <w:r w:rsidR="00FA0C92">
        <w:t>.</w:t>
      </w:r>
    </w:p>
    <w:p w14:paraId="591589F7" w14:textId="77777777" w:rsidR="00FA0C92" w:rsidRPr="00FA0C92" w:rsidRDefault="00FA0C92" w:rsidP="00FA0C92">
      <w:r w:rsidRPr="00FA0C92">
        <w:rPr>
          <w:b/>
          <w:bCs/>
        </w:rPr>
        <w:t>Dato local:</w:t>
      </w:r>
      <w:r w:rsidRPr="00FA0C92">
        <w:t xml:space="preserve"> en series de España e Italia, GCK-MODY sale como el subtipo más frecuente. En el Reino Unido, en cambio, predomina HNF1A. Una razón probable: en los países mediterráneos se hacen más análisis de glucosa a niños y embarazadas, y como GCK-MODY no da síntomas, solo se encuentra si se busca. Es un buen ejemplo de cómo </w:t>
      </w:r>
      <w:r w:rsidRPr="00FA0C92">
        <w:rPr>
          <w:b/>
          <w:bCs/>
        </w:rPr>
        <w:t>el método de detección sesga la epidemiología</w:t>
      </w:r>
      <w:r w:rsidRPr="00FA0C92">
        <w:t>.</w:t>
      </w:r>
    </w:p>
    <w:p w14:paraId="2A5AA139" w14:textId="77777777" w:rsidR="00FA0C92" w:rsidRPr="00FA0C92" w:rsidRDefault="00FA0C92" w:rsidP="00FA0C92">
      <w:r w:rsidRPr="00FA0C92">
        <w:rPr>
          <w:b/>
          <w:bCs/>
        </w:rPr>
        <w:t>Qué buscar:</w:t>
      </w:r>
      <w:r w:rsidRPr="00FA0C92">
        <w:t xml:space="preserve"> Hattersley &amp; Patel 2017 (</w:t>
      </w:r>
      <w:proofErr w:type="spellStart"/>
      <w:r w:rsidRPr="00FA0C92">
        <w:rPr>
          <w:i/>
          <w:iCs/>
        </w:rPr>
        <w:t>Diabetologia</w:t>
      </w:r>
      <w:proofErr w:type="spellEnd"/>
      <w:r w:rsidRPr="00FA0C92">
        <w:t>), revisión sobre diabetes monogénica y medicina de precisión.</w:t>
      </w:r>
    </w:p>
    <w:p w14:paraId="00E1B64C" w14:textId="77777777" w:rsidR="00FA0C92" w:rsidRPr="00FA0C92" w:rsidRDefault="00FA0C92" w:rsidP="00FA0C92">
      <w:r w:rsidRPr="00FA0C92">
        <w:rPr>
          <w:b/>
          <w:bCs/>
        </w:rPr>
        <w:t xml:space="preserve">El gen </w:t>
      </w:r>
      <w:r w:rsidRPr="00FA0C92">
        <w:rPr>
          <w:b/>
          <w:bCs/>
          <w:i/>
          <w:iCs/>
        </w:rPr>
        <w:t>GCK</w:t>
      </w:r>
      <w:r w:rsidRPr="00FA0C92">
        <w:rPr>
          <w:b/>
          <w:bCs/>
        </w:rPr>
        <w:t>:</w:t>
      </w:r>
    </w:p>
    <w:p w14:paraId="6E1B38E7" w14:textId="77777777" w:rsidR="00FA0C92" w:rsidRPr="00FA0C92" w:rsidRDefault="00FA0C92" w:rsidP="00FA0C92">
      <w:pPr>
        <w:numPr>
          <w:ilvl w:val="0"/>
          <w:numId w:val="2"/>
        </w:numPr>
      </w:pPr>
      <w:r w:rsidRPr="00FA0C92">
        <w:t xml:space="preserve">Está en el </w:t>
      </w:r>
      <w:r w:rsidRPr="00FA0C92">
        <w:rPr>
          <w:b/>
          <w:bCs/>
        </w:rPr>
        <w:t>cromosoma 7p13</w:t>
      </w:r>
      <w:r w:rsidRPr="00FA0C92">
        <w:t xml:space="preserve"> y codifica la </w:t>
      </w:r>
      <w:proofErr w:type="spellStart"/>
      <w:r w:rsidRPr="00FA0C92">
        <w:t>glucoquinasa</w:t>
      </w:r>
      <w:proofErr w:type="spellEnd"/>
      <w:r w:rsidRPr="00FA0C92">
        <w:t>.</w:t>
      </w:r>
    </w:p>
    <w:p w14:paraId="2562F812" w14:textId="77777777" w:rsidR="00FA0C92" w:rsidRPr="00FA0C92" w:rsidRDefault="00FA0C92" w:rsidP="00FA0C92">
      <w:pPr>
        <w:numPr>
          <w:ilvl w:val="0"/>
          <w:numId w:val="2"/>
        </w:numPr>
      </w:pPr>
      <w:r w:rsidRPr="00FA0C92">
        <w:t xml:space="preserve">Tiene </w:t>
      </w:r>
      <w:r w:rsidRPr="00FA0C92">
        <w:rPr>
          <w:b/>
          <w:bCs/>
        </w:rPr>
        <w:t>dos promotores</w:t>
      </w:r>
      <w:r w:rsidRPr="00FA0C92">
        <w:t>: uno se usa en la célula β del páncreas y otro, situado más abajo, en el hígado. Por eso el primer exón cambia según el tejido y salen dos isoformas con un extremo N-terminal ligeramente distinto.</w:t>
      </w:r>
    </w:p>
    <w:p w14:paraId="60D39D2F" w14:textId="77777777" w:rsidR="00FA0C92" w:rsidRPr="00FA0C92" w:rsidRDefault="00FA0C92" w:rsidP="00FA0C92">
      <w:pPr>
        <w:numPr>
          <w:ilvl w:val="0"/>
          <w:numId w:val="2"/>
        </w:numPr>
      </w:pPr>
      <w:r w:rsidRPr="00FA0C92">
        <w:rPr>
          <w:b/>
          <w:bCs/>
        </w:rPr>
        <w:t>Por qué es interesante:</w:t>
      </w:r>
      <w:r w:rsidRPr="00FA0C92">
        <w:t xml:space="preserve"> es un ejemplo de que un mismo gen puede regularse de forma independiente en dos órganos. En el páncreas la </w:t>
      </w:r>
      <w:r w:rsidRPr="00FA0C92">
        <w:lastRenderedPageBreak/>
        <w:t>expresión es bastante constante. En el hígado la activa la insulina, es decir, depende de si has comido.</w:t>
      </w:r>
    </w:p>
    <w:p w14:paraId="3141FB54" w14:textId="77777777" w:rsidR="00FA0C92" w:rsidRPr="00FA0C92" w:rsidRDefault="00FA0C92" w:rsidP="00FA0C92">
      <w:r w:rsidRPr="00FA0C92">
        <w:rPr>
          <w:b/>
          <w:bCs/>
        </w:rPr>
        <w:t>La proteína:</w:t>
      </w:r>
    </w:p>
    <w:p w14:paraId="4B538488" w14:textId="77777777" w:rsidR="00FA0C92" w:rsidRPr="00FA0C92" w:rsidRDefault="00FA0C92" w:rsidP="00FA0C92">
      <w:pPr>
        <w:numPr>
          <w:ilvl w:val="0"/>
          <w:numId w:val="3"/>
        </w:numPr>
      </w:pPr>
      <w:r w:rsidRPr="00FA0C92">
        <w:t xml:space="preserve">Tiene unos 465 aminoácidos (~52 </w:t>
      </w:r>
      <w:proofErr w:type="spellStart"/>
      <w:r w:rsidRPr="00FA0C92">
        <w:t>kDa</w:t>
      </w:r>
      <w:proofErr w:type="spellEnd"/>
      <w:r w:rsidRPr="00FA0C92">
        <w:t xml:space="preserve">). Es la </w:t>
      </w:r>
      <w:r w:rsidRPr="00FA0C92">
        <w:rPr>
          <w:b/>
          <w:bCs/>
        </w:rPr>
        <w:t>hexoquinasa IV</w:t>
      </w:r>
      <w:r w:rsidRPr="00FA0C92">
        <w:t xml:space="preserve"> (también llamada hexoquinasa D). </w:t>
      </w:r>
      <w:proofErr w:type="spellStart"/>
      <w:r w:rsidRPr="00FA0C92">
        <w:t>UniProt</w:t>
      </w:r>
      <w:proofErr w:type="spellEnd"/>
      <w:r w:rsidRPr="00FA0C92">
        <w:t xml:space="preserve">: </w:t>
      </w:r>
      <w:r w:rsidRPr="00FA0C92">
        <w:rPr>
          <w:b/>
          <w:bCs/>
        </w:rPr>
        <w:t>P35557</w:t>
      </w:r>
      <w:r w:rsidRPr="00FA0C92">
        <w:t>.</w:t>
      </w:r>
    </w:p>
    <w:p w14:paraId="5E102607" w14:textId="77777777" w:rsidR="00FA0C92" w:rsidRPr="00FA0C92" w:rsidRDefault="00FA0C92" w:rsidP="00FA0C92">
      <w:pPr>
        <w:numPr>
          <w:ilvl w:val="0"/>
          <w:numId w:val="3"/>
        </w:numPr>
      </w:pPr>
      <w:r w:rsidRPr="00FA0C92">
        <w:t>Cataliza el primer paso del metabolismo de la glucosa: glucosa + ATP → glucosa-6-fosfato + ADP.</w:t>
      </w:r>
    </w:p>
    <w:p w14:paraId="2C8FC578" w14:textId="77777777" w:rsidR="00FA0C92" w:rsidRPr="00FA0C92" w:rsidRDefault="00FA0C92" w:rsidP="00FA0C92">
      <w:pPr>
        <w:numPr>
          <w:ilvl w:val="0"/>
          <w:numId w:val="3"/>
        </w:numPr>
      </w:pPr>
      <w:r w:rsidRPr="00FA0C92">
        <w:t xml:space="preserve">Es </w:t>
      </w:r>
      <w:r w:rsidRPr="00FA0C92">
        <w:rPr>
          <w:b/>
          <w:bCs/>
        </w:rPr>
        <w:t>monomérica</w:t>
      </w:r>
      <w:r w:rsidRPr="00FA0C92">
        <w:t>: funciona como una sola cadena.</w:t>
      </w:r>
    </w:p>
    <w:p w14:paraId="229747CA" w14:textId="77777777" w:rsidR="00FA0C92" w:rsidRPr="00FA0C92" w:rsidRDefault="00FA0C92" w:rsidP="00FA0C92">
      <w:r w:rsidRPr="00FA0C92">
        <w:rPr>
          <w:b/>
          <w:bCs/>
        </w:rPr>
        <w:t>La estructura, la parte más “bioinformática”:</w:t>
      </w:r>
    </w:p>
    <w:p w14:paraId="20A9D6E4" w14:textId="77777777" w:rsidR="00FA0C92" w:rsidRPr="00FA0C92" w:rsidRDefault="00FA0C92" w:rsidP="00FA0C92">
      <w:pPr>
        <w:numPr>
          <w:ilvl w:val="0"/>
          <w:numId w:val="4"/>
        </w:numPr>
      </w:pPr>
      <w:r w:rsidRPr="00FA0C92">
        <w:t>Tiene dos dominios (uno grande y uno pequeño) unidos por una bisagra. La glucosa se une en la hendidura entre ellos.</w:t>
      </w:r>
    </w:p>
    <w:p w14:paraId="2EA5BFBF" w14:textId="77777777" w:rsidR="00FA0C92" w:rsidRPr="00FA0C92" w:rsidRDefault="00FA0C92" w:rsidP="00FA0C92">
      <w:pPr>
        <w:numPr>
          <w:ilvl w:val="0"/>
          <w:numId w:val="4"/>
        </w:numPr>
      </w:pPr>
      <w:r w:rsidRPr="00FA0C92">
        <w:t xml:space="preserve">Adopta varias conformaciones: </w:t>
      </w:r>
      <w:r w:rsidRPr="00FA0C92">
        <w:rPr>
          <w:b/>
          <w:bCs/>
        </w:rPr>
        <w:t>súper-abierta</w:t>
      </w:r>
      <w:r w:rsidRPr="00FA0C92">
        <w:t xml:space="preserve"> (inactiva, sin glucosa), </w:t>
      </w:r>
      <w:r w:rsidRPr="00FA0C92">
        <w:rPr>
          <w:b/>
          <w:bCs/>
        </w:rPr>
        <w:t>abierta</w:t>
      </w:r>
      <w:r w:rsidRPr="00FA0C92">
        <w:t xml:space="preserve"> y </w:t>
      </w:r>
      <w:r w:rsidRPr="00FA0C92">
        <w:rPr>
          <w:b/>
          <w:bCs/>
        </w:rPr>
        <w:t>cerrada</w:t>
      </w:r>
      <w:r w:rsidRPr="00FA0C92">
        <w:t xml:space="preserve"> (activa). Al unirse la glucosa, la proteína se va cerrando.</w:t>
      </w:r>
    </w:p>
    <w:p w14:paraId="27B9D0D7" w14:textId="77777777" w:rsidR="00FA0C92" w:rsidRPr="00FA0C92" w:rsidRDefault="00FA0C92" w:rsidP="00FA0C92">
      <w:pPr>
        <w:numPr>
          <w:ilvl w:val="0"/>
          <w:numId w:val="4"/>
        </w:numPr>
      </w:pPr>
      <w:r w:rsidRPr="00FA0C92">
        <w:t xml:space="preserve">Tiene un </w:t>
      </w:r>
      <w:r w:rsidRPr="00FA0C92">
        <w:rPr>
          <w:b/>
          <w:bCs/>
        </w:rPr>
        <w:t>sitio alostérico</w:t>
      </w:r>
      <w:r w:rsidRPr="00FA0C92">
        <w:t xml:space="preserve">, distinto del activo, donde se unen activadores. Hay fármacos diseñados para él, los “activadores de </w:t>
      </w:r>
      <w:proofErr w:type="spellStart"/>
      <w:r w:rsidRPr="00FA0C92">
        <w:t>glucoquinasa</w:t>
      </w:r>
      <w:proofErr w:type="spellEnd"/>
      <w:r w:rsidRPr="00FA0C92">
        <w:t xml:space="preserve">”; uno (la </w:t>
      </w:r>
      <w:proofErr w:type="spellStart"/>
      <w:r w:rsidRPr="00FA0C92">
        <w:t>dorzagliatina</w:t>
      </w:r>
      <w:proofErr w:type="spellEnd"/>
      <w:r w:rsidRPr="00FA0C92">
        <w:t>) se aprobó en China para la diabetes tipo 2.</w:t>
      </w:r>
    </w:p>
    <w:p w14:paraId="1E8D8267" w14:textId="77777777" w:rsidR="00FA0C92" w:rsidRPr="00FA0C92" w:rsidRDefault="00FA0C92" w:rsidP="00FA0C92">
      <w:pPr>
        <w:numPr>
          <w:ilvl w:val="0"/>
          <w:numId w:val="4"/>
        </w:numPr>
      </w:pPr>
      <w:r w:rsidRPr="00FA0C92">
        <w:t xml:space="preserve">Estructuras en el PDB: </w:t>
      </w:r>
      <w:r w:rsidRPr="00FA0C92">
        <w:rPr>
          <w:b/>
          <w:bCs/>
        </w:rPr>
        <w:t>1V4S</w:t>
      </w:r>
      <w:r w:rsidRPr="00FA0C92">
        <w:t xml:space="preserve"> (cerrada, con glucosa y un activador) y </w:t>
      </w:r>
      <w:r w:rsidRPr="00FA0C92">
        <w:rPr>
          <w:b/>
          <w:bCs/>
        </w:rPr>
        <w:t>1V4T</w:t>
      </w:r>
      <w:r w:rsidRPr="00FA0C92">
        <w:t xml:space="preserve"> (súper-abierta), de Kamata et al. 2004 (</w:t>
      </w:r>
      <w:proofErr w:type="spellStart"/>
      <w:r w:rsidRPr="00FA0C92">
        <w:rPr>
          <w:i/>
          <w:iCs/>
        </w:rPr>
        <w:t>Structure</w:t>
      </w:r>
      <w:proofErr w:type="spellEnd"/>
      <w:r w:rsidRPr="00FA0C92">
        <w:t>).</w:t>
      </w:r>
    </w:p>
    <w:p w14:paraId="35D06908" w14:textId="77777777" w:rsidR="00FA0C92" w:rsidRPr="00FA0C92" w:rsidRDefault="00FA0C92" w:rsidP="00FA0C92">
      <w:r w:rsidRPr="00FA0C92">
        <w:rPr>
          <w:b/>
          <w:bCs/>
        </w:rPr>
        <w:t>La conexión que tenéis que ver:</w:t>
      </w:r>
      <w:r w:rsidRPr="00FA0C92">
        <w:t xml:space="preserve"> como la </w:t>
      </w:r>
      <w:proofErr w:type="spellStart"/>
      <w:r w:rsidRPr="00FA0C92">
        <w:t>glucoquinasa</w:t>
      </w:r>
      <w:proofErr w:type="spellEnd"/>
      <w:r w:rsidRPr="00FA0C92">
        <w:t xml:space="preserve"> es monomérica, su cinética sigmoidea (apartado 3) no se puede explicar por cooperatividad entre subunidades, como la de la hemoglobina. Se explica por estos </w:t>
      </w:r>
      <w:r w:rsidRPr="00FA0C92">
        <w:rPr>
          <w:b/>
          <w:bCs/>
        </w:rPr>
        <w:t>cambios lentos de conformación</w:t>
      </w:r>
      <w:r w:rsidRPr="00FA0C92">
        <w:t>. La estructura explica la función. Si hacéis una figura, que sea esta: la proteína abierta frente a la cerrada.</w:t>
      </w:r>
    </w:p>
    <w:p w14:paraId="7C8F5473" w14:textId="77777777" w:rsidR="00FA0C92" w:rsidRDefault="00FA0C92" w:rsidP="00FD774B"/>
    <w:p w14:paraId="34563E55" w14:textId="6B7BC8C4" w:rsidR="00FA0C92" w:rsidRPr="00953C4C" w:rsidRDefault="00FA0C92" w:rsidP="00FD774B">
      <w:pPr>
        <w:rPr>
          <w:b/>
          <w:bCs/>
          <w:color w:val="EE0000"/>
        </w:rPr>
      </w:pPr>
      <w:r w:rsidRPr="00953C4C">
        <w:rPr>
          <w:b/>
          <w:bCs/>
          <w:color w:val="EE0000"/>
        </w:rPr>
        <w:t xml:space="preserve">Fisiología normal: sensor de la glucosa. </w:t>
      </w:r>
    </w:p>
    <w:p w14:paraId="40174DB0" w14:textId="0C61516D" w:rsidR="00FA0C92" w:rsidRDefault="00FA0C92" w:rsidP="00FD774B">
      <w:r w:rsidRPr="00FA0C92">
        <w:t>El problema que resuelve el cuerpo</w:t>
      </w:r>
      <w:r w:rsidRPr="00FA0C92">
        <w:t xml:space="preserve"> es:</w:t>
      </w:r>
      <w:r w:rsidRPr="00FA0C92">
        <w:t xml:space="preserve"> el páncreas tiene que “medir” la glucosa de la sangre para saber cuánta insulina soltar. Necesita un sensor.</w:t>
      </w:r>
    </w:p>
    <w:p w14:paraId="45980E70" w14:textId="5B510D0D" w:rsidR="00953C4C" w:rsidRDefault="00953C4C" w:rsidP="00FD774B">
      <w:r>
        <w:t>U</w:t>
      </w:r>
      <w:r w:rsidRPr="00953C4C">
        <w:t xml:space="preserve">na hexoquinasa normal es como un interruptor que siempre está encendido, así que no “nota” si la glucosa sube de 5 a 8 </w:t>
      </w:r>
      <w:proofErr w:type="spellStart"/>
      <w:r w:rsidRPr="00953C4C">
        <w:t>mM.</w:t>
      </w:r>
      <w:proofErr w:type="spellEnd"/>
      <w:r w:rsidRPr="00953C4C">
        <w:t xml:space="preserve"> La </w:t>
      </w:r>
      <w:proofErr w:type="spellStart"/>
      <w:r w:rsidRPr="00953C4C">
        <w:t>glucoquinasa</w:t>
      </w:r>
      <w:proofErr w:type="spellEnd"/>
      <w:r w:rsidRPr="00953C4C">
        <w:t xml:space="preserve"> trabaja justo en el rango fisiológico. Si sube la glucosa, sube su actividad casi en proporción, y la forma sigmoidea hace que sea especialmente sensible alrededor del umbral. Por eso se dice que la </w:t>
      </w:r>
      <w:proofErr w:type="spellStart"/>
      <w:r w:rsidRPr="00953C4C">
        <w:t>glucoquinasa</w:t>
      </w:r>
      <w:proofErr w:type="spellEnd"/>
      <w:r w:rsidRPr="00953C4C">
        <w:t xml:space="preserve"> </w:t>
      </w:r>
      <w:r w:rsidRPr="00953C4C">
        <w:rPr>
          <w:b/>
          <w:bCs/>
        </w:rPr>
        <w:t xml:space="preserve">fija el “set </w:t>
      </w:r>
      <w:proofErr w:type="spellStart"/>
      <w:r w:rsidRPr="00953C4C">
        <w:rPr>
          <w:b/>
          <w:bCs/>
        </w:rPr>
        <w:t>point</w:t>
      </w:r>
      <w:proofErr w:type="spellEnd"/>
      <w:r w:rsidRPr="00953C4C">
        <w:rPr>
          <w:b/>
          <w:bCs/>
        </w:rPr>
        <w:t>” de la glucosa</w:t>
      </w:r>
      <w:r w:rsidRPr="00953C4C">
        <w:t xml:space="preserve">, como el termostato de una casa. Este concepto lo popularizó Franz Matschinsky (busca su </w:t>
      </w:r>
      <w:r w:rsidRPr="00953C4C">
        <w:rPr>
          <w:i/>
          <w:iCs/>
        </w:rPr>
        <w:t xml:space="preserve">Banting </w:t>
      </w:r>
      <w:proofErr w:type="spellStart"/>
      <w:r w:rsidRPr="00953C4C">
        <w:rPr>
          <w:i/>
          <w:iCs/>
        </w:rPr>
        <w:t>Lecture</w:t>
      </w:r>
      <w:proofErr w:type="spellEnd"/>
      <w:r w:rsidRPr="00953C4C">
        <w:t xml:space="preserve"> de 1996 en </w:t>
      </w:r>
      <w:r w:rsidRPr="00953C4C">
        <w:rPr>
          <w:i/>
          <w:iCs/>
        </w:rPr>
        <w:t>Diabetes</w:t>
      </w:r>
      <w:r w:rsidRPr="00953C4C">
        <w:t>).</w:t>
      </w:r>
    </w:p>
    <w:p w14:paraId="60065FF6" w14:textId="77777777" w:rsidR="00953C4C" w:rsidRDefault="00953C4C" w:rsidP="00FD774B"/>
    <w:p w14:paraId="5C6E1B81" w14:textId="79010FA4" w:rsidR="00953C4C" w:rsidRDefault="00953C4C" w:rsidP="00FD774B">
      <w:r>
        <w:t>Fisiopatología:</w:t>
      </w:r>
    </w:p>
    <w:p w14:paraId="189A9F88" w14:textId="77777777" w:rsidR="00953C4C" w:rsidRPr="00953C4C" w:rsidRDefault="00953C4C" w:rsidP="00953C4C">
      <w:pPr>
        <w:rPr>
          <w:b/>
          <w:bCs/>
        </w:rPr>
      </w:pPr>
      <w:r w:rsidRPr="00953C4C">
        <w:rPr>
          <w:b/>
          <w:bCs/>
        </w:rPr>
        <w:t>Fisiopatología: qué pasa cuando el gen se altera</w:t>
      </w:r>
    </w:p>
    <w:p w14:paraId="7EE6DE53" w14:textId="77777777" w:rsidR="00953C4C" w:rsidRPr="00953C4C" w:rsidRDefault="00953C4C" w:rsidP="00953C4C">
      <w:r w:rsidRPr="00953C4C">
        <w:rPr>
          <w:b/>
          <w:bCs/>
        </w:rPr>
        <w:t>El mecanismo central:</w:t>
      </w:r>
    </w:p>
    <w:p w14:paraId="79EBFFA6" w14:textId="77777777" w:rsidR="00953C4C" w:rsidRPr="00953C4C" w:rsidRDefault="00953C4C" w:rsidP="00953C4C">
      <w:pPr>
        <w:numPr>
          <w:ilvl w:val="0"/>
          <w:numId w:val="5"/>
        </w:numPr>
      </w:pPr>
      <w:r w:rsidRPr="00953C4C">
        <w:t xml:space="preserve">En GCK-MODY hay una mutación </w:t>
      </w:r>
      <w:r w:rsidRPr="00953C4C">
        <w:rPr>
          <w:b/>
          <w:bCs/>
        </w:rPr>
        <w:t xml:space="preserve">heterocigota </w:t>
      </w:r>
      <w:proofErr w:type="spellStart"/>
      <w:r w:rsidRPr="00953C4C">
        <w:rPr>
          <w:b/>
          <w:bCs/>
        </w:rPr>
        <w:t>inactivante</w:t>
      </w:r>
      <w:proofErr w:type="spellEnd"/>
      <w:r w:rsidRPr="00953C4C">
        <w:t>: una copia buena y una que no funciona (o funciona peor).</w:t>
      </w:r>
    </w:p>
    <w:p w14:paraId="6DBB79EA" w14:textId="77777777" w:rsidR="00953C4C" w:rsidRPr="00953C4C" w:rsidRDefault="00953C4C" w:rsidP="00953C4C">
      <w:pPr>
        <w:numPr>
          <w:ilvl w:val="0"/>
          <w:numId w:val="5"/>
        </w:numPr>
      </w:pPr>
      <w:r w:rsidRPr="00953C4C">
        <w:t xml:space="preserve">Con la mitad de actividad, la célula β necesita </w:t>
      </w:r>
      <w:r w:rsidRPr="00953C4C">
        <w:rPr>
          <w:b/>
          <w:bCs/>
        </w:rPr>
        <w:t>más glucosa</w:t>
      </w:r>
      <w:r w:rsidRPr="00953C4C">
        <w:t xml:space="preserve"> para alcanzar el mismo nivel de ATP y disparar la insulina.</w:t>
      </w:r>
    </w:p>
    <w:p w14:paraId="4C40F487" w14:textId="77777777" w:rsidR="00953C4C" w:rsidRPr="00953C4C" w:rsidRDefault="00953C4C" w:rsidP="00953C4C">
      <w:pPr>
        <w:numPr>
          <w:ilvl w:val="0"/>
          <w:numId w:val="5"/>
        </w:numPr>
      </w:pPr>
      <w:r w:rsidRPr="00953C4C">
        <w:t xml:space="preserve">Resultado: </w:t>
      </w:r>
      <w:r w:rsidRPr="00953C4C">
        <w:rPr>
          <w:b/>
          <w:bCs/>
        </w:rPr>
        <w:t>el termostato se sube</w:t>
      </w:r>
      <w:r w:rsidRPr="00953C4C">
        <w:t xml:space="preserve">, de unos 5 </w:t>
      </w:r>
      <w:proofErr w:type="spellStart"/>
      <w:r w:rsidRPr="00953C4C">
        <w:t>mM</w:t>
      </w:r>
      <w:proofErr w:type="spellEnd"/>
      <w:r w:rsidRPr="00953C4C">
        <w:t xml:space="preserve"> a unos 6–7 </w:t>
      </w:r>
      <w:proofErr w:type="spellStart"/>
      <w:r w:rsidRPr="00953C4C">
        <w:t>mM.</w:t>
      </w:r>
      <w:proofErr w:type="spellEnd"/>
      <w:r w:rsidRPr="00953C4C">
        <w:t xml:space="preserve"> Y esto es importante: </w:t>
      </w:r>
      <w:r w:rsidRPr="00953C4C">
        <w:rPr>
          <w:b/>
          <w:bCs/>
        </w:rPr>
        <w:t>el sistema sigue regulando</w:t>
      </w:r>
      <w:r w:rsidRPr="00953C4C">
        <w:t>. No es que el páncreas falle. Defiende un valor más alto, pero lo defiende bien. Por eso la hiperglucemia es leve, estable y no empeora con los años.</w:t>
      </w:r>
    </w:p>
    <w:p w14:paraId="72F1B5E2" w14:textId="77777777" w:rsidR="00953C4C" w:rsidRPr="00953C4C" w:rsidRDefault="00953C4C" w:rsidP="00953C4C">
      <w:r w:rsidRPr="00953C4C">
        <w:rPr>
          <w:b/>
          <w:bCs/>
        </w:rPr>
        <w:t>Cómo puede romperse la proteína.</w:t>
      </w:r>
      <w:r w:rsidRPr="00953C4C">
        <w:t xml:space="preserve"> Aquí podéis lucir el enfoque molecular. Las mutaciones afectan de distintas formas:</w:t>
      </w:r>
    </w:p>
    <w:p w14:paraId="3DDB8CF2" w14:textId="77777777" w:rsidR="00953C4C" w:rsidRPr="00953C4C" w:rsidRDefault="00953C4C" w:rsidP="00953C4C">
      <w:pPr>
        <w:numPr>
          <w:ilvl w:val="0"/>
          <w:numId w:val="6"/>
        </w:numPr>
      </w:pPr>
      <w:r w:rsidRPr="00953C4C">
        <w:rPr>
          <w:b/>
          <w:bCs/>
        </w:rPr>
        <w:t>Cinética:</w:t>
      </w:r>
      <w:r w:rsidRPr="00953C4C">
        <w:t xml:space="preserve"> sube la S₀.₅ (necesita más glucosa), baja la velocidad máxima o se pierde afinidad por el ATP.</w:t>
      </w:r>
    </w:p>
    <w:p w14:paraId="2ABB04D8" w14:textId="77777777" w:rsidR="00953C4C" w:rsidRPr="00953C4C" w:rsidRDefault="00953C4C" w:rsidP="00953C4C">
      <w:pPr>
        <w:numPr>
          <w:ilvl w:val="0"/>
          <w:numId w:val="6"/>
        </w:numPr>
      </w:pPr>
      <w:r w:rsidRPr="00953C4C">
        <w:rPr>
          <w:b/>
          <w:bCs/>
        </w:rPr>
        <w:t>Estabilidad:</w:t>
      </w:r>
      <w:r w:rsidRPr="00953C4C">
        <w:t xml:space="preserve"> la proteína se pliega mal y se degrada, así que hay menos enzima.</w:t>
      </w:r>
    </w:p>
    <w:p w14:paraId="63B59FA5" w14:textId="77777777" w:rsidR="00953C4C" w:rsidRPr="00953C4C" w:rsidRDefault="00953C4C" w:rsidP="00953C4C">
      <w:pPr>
        <w:numPr>
          <w:ilvl w:val="0"/>
          <w:numId w:val="6"/>
        </w:numPr>
      </w:pPr>
      <w:r w:rsidRPr="00953C4C">
        <w:rPr>
          <w:b/>
          <w:bCs/>
        </w:rPr>
        <w:t>Regulación:</w:t>
      </w:r>
      <w:r w:rsidRPr="00953C4C">
        <w:t xml:space="preserve"> cambia su interacción con la GKRP o la dinámica entre conformaciones.</w:t>
      </w:r>
    </w:p>
    <w:p w14:paraId="49BA5A3A" w14:textId="77777777" w:rsidR="00953C4C" w:rsidRPr="00953C4C" w:rsidRDefault="00953C4C" w:rsidP="00953C4C">
      <w:r w:rsidRPr="00953C4C">
        <w:t xml:space="preserve">Se conocen </w:t>
      </w:r>
      <w:r w:rsidRPr="00953C4C">
        <w:rPr>
          <w:b/>
          <w:bCs/>
        </w:rPr>
        <w:t>cientos de variantes</w:t>
      </w:r>
      <w:r w:rsidRPr="00953C4C">
        <w:t xml:space="preserve"> repartidas por toda la proteína, sin un “punto caliente” único. Bases de datos: </w:t>
      </w:r>
      <w:proofErr w:type="spellStart"/>
      <w:r w:rsidRPr="00953C4C">
        <w:rPr>
          <w:b/>
          <w:bCs/>
        </w:rPr>
        <w:t>ClinVar</w:t>
      </w:r>
      <w:proofErr w:type="spellEnd"/>
      <w:r w:rsidRPr="00953C4C">
        <w:t xml:space="preserve">, </w:t>
      </w:r>
      <w:r w:rsidRPr="00953C4C">
        <w:rPr>
          <w:b/>
          <w:bCs/>
        </w:rPr>
        <w:t>HGMD</w:t>
      </w:r>
      <w:r w:rsidRPr="00953C4C">
        <w:t>, y la revisión de Osbak et al. 2009 (</w:t>
      </w:r>
      <w:r w:rsidRPr="00953C4C">
        <w:rPr>
          <w:i/>
          <w:iCs/>
        </w:rPr>
        <w:t xml:space="preserve">Human </w:t>
      </w:r>
      <w:proofErr w:type="spellStart"/>
      <w:r w:rsidRPr="00953C4C">
        <w:rPr>
          <w:i/>
          <w:iCs/>
        </w:rPr>
        <w:t>Mutation</w:t>
      </w:r>
      <w:proofErr w:type="spellEnd"/>
      <w:r w:rsidRPr="00953C4C">
        <w:t>).</w:t>
      </w:r>
    </w:p>
    <w:p w14:paraId="1004E81B" w14:textId="77777777" w:rsidR="00953C4C" w:rsidRPr="00953C4C" w:rsidRDefault="00953C4C" w:rsidP="00953C4C">
      <w:r w:rsidRPr="00953C4C">
        <w:rPr>
          <w:b/>
          <w:bCs/>
        </w:rPr>
        <w:t>Cómo se presenta:</w:t>
      </w:r>
    </w:p>
    <w:p w14:paraId="27490C15" w14:textId="77777777" w:rsidR="00953C4C" w:rsidRPr="00953C4C" w:rsidRDefault="00953C4C" w:rsidP="00953C4C">
      <w:pPr>
        <w:numPr>
          <w:ilvl w:val="0"/>
          <w:numId w:val="7"/>
        </w:numPr>
      </w:pPr>
      <w:r w:rsidRPr="00953C4C">
        <w:rPr>
          <w:b/>
          <w:bCs/>
        </w:rPr>
        <w:t>Hiperglucemia en ayunas leve</w:t>
      </w:r>
      <w:r w:rsidRPr="00953C4C">
        <w:t xml:space="preserve"> (unos 5,4–8,3 mmol/L, ≈ 98–150 mg/</w:t>
      </w:r>
      <w:proofErr w:type="spellStart"/>
      <w:r w:rsidRPr="00953C4C">
        <w:t>dL</w:t>
      </w:r>
      <w:proofErr w:type="spellEnd"/>
      <w:r w:rsidRPr="00953C4C">
        <w:t xml:space="preserve">), </w:t>
      </w:r>
      <w:r w:rsidRPr="00953C4C">
        <w:rPr>
          <w:b/>
          <w:bCs/>
        </w:rPr>
        <w:t>presente desde el nacimiento</w:t>
      </w:r>
      <w:r w:rsidRPr="00953C4C">
        <w:t xml:space="preserve"> y muy estable.</w:t>
      </w:r>
    </w:p>
    <w:p w14:paraId="386144EA" w14:textId="77777777" w:rsidR="00953C4C" w:rsidRPr="00953C4C" w:rsidRDefault="00953C4C" w:rsidP="00953C4C">
      <w:pPr>
        <w:numPr>
          <w:ilvl w:val="0"/>
          <w:numId w:val="7"/>
        </w:numPr>
      </w:pPr>
      <w:r w:rsidRPr="00953C4C">
        <w:rPr>
          <w:b/>
          <w:bCs/>
        </w:rPr>
        <w:t>HbA1c</w:t>
      </w:r>
      <w:r w:rsidRPr="00953C4C">
        <w:t xml:space="preserve"> ligeramente elevada (unos 5,6–7,6%).</w:t>
      </w:r>
    </w:p>
    <w:p w14:paraId="069DA332" w14:textId="77777777" w:rsidR="00953C4C" w:rsidRPr="00953C4C" w:rsidRDefault="00953C4C" w:rsidP="00953C4C">
      <w:pPr>
        <w:numPr>
          <w:ilvl w:val="0"/>
          <w:numId w:val="7"/>
        </w:numPr>
      </w:pPr>
      <w:r w:rsidRPr="00953C4C">
        <w:t xml:space="preserve">En la prueba de sobrecarga oral de glucosa, la glucosa sube </w:t>
      </w:r>
      <w:r w:rsidRPr="00953C4C">
        <w:rPr>
          <w:b/>
          <w:bCs/>
        </w:rPr>
        <w:t>poco</w:t>
      </w:r>
      <w:r w:rsidRPr="00953C4C">
        <w:t xml:space="preserve"> a las 2 horas (a menudo menos de 3 mmol/L). Tiene sentido: el sistema regula bien, solo que desde un punto de partida más alto.</w:t>
      </w:r>
    </w:p>
    <w:p w14:paraId="688A7500" w14:textId="77777777" w:rsidR="00953C4C" w:rsidRPr="00953C4C" w:rsidRDefault="00953C4C" w:rsidP="00953C4C">
      <w:pPr>
        <w:numPr>
          <w:ilvl w:val="0"/>
          <w:numId w:val="7"/>
        </w:numPr>
      </w:pPr>
      <w:r w:rsidRPr="00953C4C">
        <w:rPr>
          <w:b/>
          <w:bCs/>
        </w:rPr>
        <w:t>Normalmente sin síntomas.</w:t>
      </w:r>
      <w:r w:rsidRPr="00953C4C">
        <w:t xml:space="preserve"> Se suele descubrir por casualidad: en un análisis rutinario, en el embarazo o en un niño al que se le mira la glucosa por otro motivo.</w:t>
      </w:r>
    </w:p>
    <w:p w14:paraId="22B777EA" w14:textId="77777777" w:rsidR="00953C4C" w:rsidRPr="00953C4C" w:rsidRDefault="00953C4C" w:rsidP="00953C4C">
      <w:r w:rsidRPr="00953C4C">
        <w:rPr>
          <w:b/>
          <w:bCs/>
        </w:rPr>
        <w:lastRenderedPageBreak/>
        <w:t>Complicaciones a largo plazo:</w:t>
      </w:r>
      <w:r w:rsidRPr="00953C4C">
        <w:t xml:space="preserve"> un estudio importante (Steele et al. 2014, </w:t>
      </w:r>
      <w:r w:rsidRPr="00953C4C">
        <w:rPr>
          <w:i/>
          <w:iCs/>
        </w:rPr>
        <w:t>JAMA</w:t>
      </w:r>
      <w:r w:rsidRPr="00953C4C">
        <w:t xml:space="preserve">) comparó a personas con GCK-MODY con familiares sin la mutación. Las complicaciones microvasculares (retina, riñón) </w:t>
      </w:r>
      <w:r w:rsidRPr="00953C4C">
        <w:rPr>
          <w:b/>
          <w:bCs/>
        </w:rPr>
        <w:t>no eran clínicamente relevantes</w:t>
      </w:r>
      <w:r w:rsidRPr="00953C4C">
        <w:t>, aunque llevaban toda la vida con la glucosa algo alta. La interpretación: el daño de la diabetes depende de cuánto y cuánto tiempo sube la glucosa, y aquí la subida es pequeña.</w:t>
      </w:r>
    </w:p>
    <w:p w14:paraId="73800999" w14:textId="77777777" w:rsidR="00953C4C" w:rsidRPr="00953C4C" w:rsidRDefault="00953C4C" w:rsidP="00953C4C">
      <w:r w:rsidRPr="00953C4C">
        <w:rPr>
          <w:b/>
          <w:bCs/>
        </w:rPr>
        <w:t>Tratamiento: casi nunca.</w:t>
      </w:r>
    </w:p>
    <w:p w14:paraId="11FD1843" w14:textId="77777777" w:rsidR="00953C4C" w:rsidRPr="00953C4C" w:rsidRDefault="00953C4C" w:rsidP="00953C4C">
      <w:pPr>
        <w:numPr>
          <w:ilvl w:val="0"/>
          <w:numId w:val="8"/>
        </w:numPr>
      </w:pPr>
      <w:r w:rsidRPr="00953C4C">
        <w:t xml:space="preserve">Los fármacos para la diabetes apenas cambian la HbA1c en estos pacientes, porque el cuerpo “pelea” por volver a su set </w:t>
      </w:r>
      <w:proofErr w:type="spellStart"/>
      <w:r w:rsidRPr="00953C4C">
        <w:t>point</w:t>
      </w:r>
      <w:proofErr w:type="spellEnd"/>
      <w:r w:rsidRPr="00953C4C">
        <w:t>.</w:t>
      </w:r>
    </w:p>
    <w:p w14:paraId="3598888C" w14:textId="77777777" w:rsidR="00953C4C" w:rsidRPr="00953C4C" w:rsidRDefault="00953C4C" w:rsidP="00953C4C">
      <w:pPr>
        <w:numPr>
          <w:ilvl w:val="0"/>
          <w:numId w:val="8"/>
        </w:numPr>
      </w:pPr>
      <w:r w:rsidRPr="00953C4C">
        <w:t xml:space="preserve">Por eso el </w:t>
      </w:r>
      <w:r w:rsidRPr="00953C4C">
        <w:rPr>
          <w:b/>
          <w:bCs/>
        </w:rPr>
        <w:t>diagnóstico genético tiene impacto directo</w:t>
      </w:r>
      <w:r w:rsidRPr="00953C4C">
        <w:t xml:space="preserve">: a muchos pacientes mal diagnosticados de tipo 1 o tipo 2 se les puede </w:t>
      </w:r>
      <w:r w:rsidRPr="00953C4C">
        <w:rPr>
          <w:b/>
          <w:bCs/>
        </w:rPr>
        <w:t>retirar el tratamiento</w:t>
      </w:r>
      <w:r w:rsidRPr="00953C4C">
        <w:t xml:space="preserve">. Es uno de los ejemplos clásicos de </w:t>
      </w:r>
      <w:r w:rsidRPr="00953C4C">
        <w:rPr>
          <w:b/>
          <w:bCs/>
        </w:rPr>
        <w:t>medicina de precisión</w:t>
      </w:r>
      <w:r w:rsidRPr="00953C4C">
        <w:t>, y es el argumento perfecto para justificar por qué importa interpretar bien las variantes, que es lo que lleva a vuestro cierre bioinformático.</w:t>
      </w:r>
    </w:p>
    <w:p w14:paraId="37BB4444" w14:textId="77777777" w:rsidR="00953C4C" w:rsidRPr="00953C4C" w:rsidRDefault="00953C4C" w:rsidP="00953C4C">
      <w:proofErr w:type="gramStart"/>
      <w:r w:rsidRPr="00953C4C">
        <w:rPr>
          <w:b/>
          <w:bCs/>
        </w:rPr>
        <w:t>Cuándo</w:t>
      </w:r>
      <w:proofErr w:type="gramEnd"/>
      <w:r w:rsidRPr="00953C4C">
        <w:rPr>
          <w:b/>
          <w:bCs/>
        </w:rPr>
        <w:t xml:space="preserve"> sospecharlo:</w:t>
      </w:r>
    </w:p>
    <w:p w14:paraId="2636C3A4" w14:textId="77777777" w:rsidR="00953C4C" w:rsidRPr="00953C4C" w:rsidRDefault="00953C4C" w:rsidP="00953C4C">
      <w:pPr>
        <w:numPr>
          <w:ilvl w:val="0"/>
          <w:numId w:val="9"/>
        </w:numPr>
      </w:pPr>
      <w:r w:rsidRPr="00953C4C">
        <w:t>Hiperglucemia leve y estable en ayunas.</w:t>
      </w:r>
    </w:p>
    <w:p w14:paraId="1DFC2360" w14:textId="77777777" w:rsidR="00953C4C" w:rsidRPr="00953C4C" w:rsidRDefault="00953C4C" w:rsidP="00953C4C">
      <w:pPr>
        <w:numPr>
          <w:ilvl w:val="0"/>
          <w:numId w:val="9"/>
        </w:numPr>
      </w:pPr>
      <w:r w:rsidRPr="00953C4C">
        <w:t>Un progenitor con “azúcar un poco alto” (a menudo sin diagnosticar).</w:t>
      </w:r>
    </w:p>
    <w:p w14:paraId="6CE5E793" w14:textId="77777777" w:rsidR="00953C4C" w:rsidRPr="00953C4C" w:rsidRDefault="00953C4C" w:rsidP="00953C4C">
      <w:pPr>
        <w:numPr>
          <w:ilvl w:val="0"/>
          <w:numId w:val="9"/>
        </w:numPr>
      </w:pPr>
      <w:r w:rsidRPr="00953C4C">
        <w:t>Autoanticuerpos negativos y péptido C conservado.</w:t>
      </w:r>
    </w:p>
    <w:p w14:paraId="4AF1DA1A" w14:textId="77777777" w:rsidR="00953C4C" w:rsidRPr="00953C4C" w:rsidRDefault="00953C4C" w:rsidP="00953C4C">
      <w:pPr>
        <w:numPr>
          <w:ilvl w:val="0"/>
          <w:numId w:val="9"/>
        </w:numPr>
      </w:pPr>
      <w:r w:rsidRPr="00953C4C">
        <w:t xml:space="preserve">Existen calculadoras de probabilidad de MODY (la de la Universidad de Exeter) que ayudan a decidir a quién hacerle </w:t>
      </w:r>
      <w:proofErr w:type="gramStart"/>
      <w:r w:rsidRPr="00953C4C">
        <w:t>el test</w:t>
      </w:r>
      <w:proofErr w:type="gramEnd"/>
      <w:r w:rsidRPr="00953C4C">
        <w:t xml:space="preserve"> genético</w:t>
      </w:r>
    </w:p>
    <w:p w14:paraId="04B38D9E" w14:textId="77777777" w:rsidR="00953C4C" w:rsidRPr="00FA0C92" w:rsidRDefault="00953C4C" w:rsidP="00FD774B"/>
    <w:sectPr w:rsidR="00953C4C" w:rsidRPr="00FA0C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01F4C"/>
    <w:multiLevelType w:val="multilevel"/>
    <w:tmpl w:val="D2A2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D2ED6"/>
    <w:multiLevelType w:val="multilevel"/>
    <w:tmpl w:val="2AC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536AE"/>
    <w:multiLevelType w:val="multilevel"/>
    <w:tmpl w:val="BEC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E7424"/>
    <w:multiLevelType w:val="multilevel"/>
    <w:tmpl w:val="D75A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0500D"/>
    <w:multiLevelType w:val="multilevel"/>
    <w:tmpl w:val="B240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43287"/>
    <w:multiLevelType w:val="multilevel"/>
    <w:tmpl w:val="42C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E278D0"/>
    <w:multiLevelType w:val="multilevel"/>
    <w:tmpl w:val="16D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46B78"/>
    <w:multiLevelType w:val="multilevel"/>
    <w:tmpl w:val="2FE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113B6"/>
    <w:multiLevelType w:val="multilevel"/>
    <w:tmpl w:val="E2C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555230">
    <w:abstractNumId w:val="8"/>
  </w:num>
  <w:num w:numId="2" w16cid:durableId="1562716920">
    <w:abstractNumId w:val="7"/>
  </w:num>
  <w:num w:numId="3" w16cid:durableId="1708484498">
    <w:abstractNumId w:val="1"/>
  </w:num>
  <w:num w:numId="4" w16cid:durableId="1088572908">
    <w:abstractNumId w:val="0"/>
  </w:num>
  <w:num w:numId="5" w16cid:durableId="662465007">
    <w:abstractNumId w:val="5"/>
  </w:num>
  <w:num w:numId="6" w16cid:durableId="1159688271">
    <w:abstractNumId w:val="3"/>
  </w:num>
  <w:num w:numId="7" w16cid:durableId="319694882">
    <w:abstractNumId w:val="2"/>
  </w:num>
  <w:num w:numId="8" w16cid:durableId="1368263298">
    <w:abstractNumId w:val="6"/>
  </w:num>
  <w:num w:numId="9" w16cid:durableId="1659117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03"/>
    <w:rsid w:val="00044904"/>
    <w:rsid w:val="005C5168"/>
    <w:rsid w:val="00770B67"/>
    <w:rsid w:val="00786103"/>
    <w:rsid w:val="008709A4"/>
    <w:rsid w:val="00953C4C"/>
    <w:rsid w:val="009561ED"/>
    <w:rsid w:val="00AB3087"/>
    <w:rsid w:val="00FA0C92"/>
    <w:rsid w:val="00FD77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85603"/>
  <w15:chartTrackingRefBased/>
  <w15:docId w15:val="{1DE44AF4-D6BB-4A77-A9DD-A8D78FF38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6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6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61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61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61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61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61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61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61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61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61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61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61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61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61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61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61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6103"/>
    <w:rPr>
      <w:rFonts w:eastAsiaTheme="majorEastAsia" w:cstheme="majorBidi"/>
      <w:color w:val="272727" w:themeColor="text1" w:themeTint="D8"/>
    </w:rPr>
  </w:style>
  <w:style w:type="paragraph" w:styleId="Ttulo">
    <w:name w:val="Title"/>
    <w:basedOn w:val="Normal"/>
    <w:next w:val="Normal"/>
    <w:link w:val="TtuloCar"/>
    <w:uiPriority w:val="10"/>
    <w:qFormat/>
    <w:rsid w:val="00786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61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61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61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6103"/>
    <w:pPr>
      <w:spacing w:before="160"/>
      <w:jc w:val="center"/>
    </w:pPr>
    <w:rPr>
      <w:i/>
      <w:iCs/>
      <w:color w:val="404040" w:themeColor="text1" w:themeTint="BF"/>
    </w:rPr>
  </w:style>
  <w:style w:type="character" w:customStyle="1" w:styleId="CitaCar">
    <w:name w:val="Cita Car"/>
    <w:basedOn w:val="Fuentedeprrafopredeter"/>
    <w:link w:val="Cita"/>
    <w:uiPriority w:val="29"/>
    <w:rsid w:val="00786103"/>
    <w:rPr>
      <w:i/>
      <w:iCs/>
      <w:color w:val="404040" w:themeColor="text1" w:themeTint="BF"/>
    </w:rPr>
  </w:style>
  <w:style w:type="paragraph" w:styleId="Prrafodelista">
    <w:name w:val="List Paragraph"/>
    <w:basedOn w:val="Normal"/>
    <w:uiPriority w:val="34"/>
    <w:qFormat/>
    <w:rsid w:val="00786103"/>
    <w:pPr>
      <w:ind w:left="720"/>
      <w:contextualSpacing/>
    </w:pPr>
  </w:style>
  <w:style w:type="character" w:styleId="nfasisintenso">
    <w:name w:val="Intense Emphasis"/>
    <w:basedOn w:val="Fuentedeprrafopredeter"/>
    <w:uiPriority w:val="21"/>
    <w:qFormat/>
    <w:rsid w:val="00786103"/>
    <w:rPr>
      <w:i/>
      <w:iCs/>
      <w:color w:val="0F4761" w:themeColor="accent1" w:themeShade="BF"/>
    </w:rPr>
  </w:style>
  <w:style w:type="paragraph" w:styleId="Citadestacada">
    <w:name w:val="Intense Quote"/>
    <w:basedOn w:val="Normal"/>
    <w:next w:val="Normal"/>
    <w:link w:val="CitadestacadaCar"/>
    <w:uiPriority w:val="30"/>
    <w:qFormat/>
    <w:rsid w:val="00786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6103"/>
    <w:rPr>
      <w:i/>
      <w:iCs/>
      <w:color w:val="0F4761" w:themeColor="accent1" w:themeShade="BF"/>
    </w:rPr>
  </w:style>
  <w:style w:type="character" w:styleId="Referenciaintensa">
    <w:name w:val="Intense Reference"/>
    <w:basedOn w:val="Fuentedeprrafopredeter"/>
    <w:uiPriority w:val="32"/>
    <w:qFormat/>
    <w:rsid w:val="00786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1130</Words>
  <Characters>6219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Maeve López</dc:creator>
  <cp:keywords/>
  <dc:description/>
  <cp:lastModifiedBy>Maeve López</cp:lastModifiedBy>
  <cp:revision>1</cp:revision>
  <dcterms:created xsi:type="dcterms:W3CDTF">2026-10-19T19:46:00Z</dcterms:created>
  <dcterms:modified xsi:type="dcterms:W3CDTF">2026-10-19T21:37:00Z</dcterms:modified>
</cp:coreProperties>
</file>