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1271545"/>
            <wp:docPr id="1" name="Picture 1"/>
            <wp:cNvGraphicFramePr>
              <a:graphicFrameLocks noChangeAspect="1"/>
            </wp:cNvGraphicFramePr>
            <a:graphic>
              <a:graphicData uri="http://schemas.openxmlformats.org/drawingml/2006/picture">
                <pic:pic>
                  <pic:nvPicPr>
                    <pic:cNvPr id="0" name="pfungwa_logo_crop.png"/>
                    <pic:cNvPicPr/>
                  </pic:nvPicPr>
                  <pic:blipFill>
                    <a:blip r:embed="rId11"/>
                    <a:stretch>
                      <a:fillRect/>
                    </a:stretch>
                  </pic:blipFill>
                  <pic:spPr>
                    <a:xfrm>
                      <a:off x="0" y="0"/>
                      <a:ext cx="3840480" cy="1271545"/>
                    </a:xfrm>
                    <a:prstGeom prst="rect"/>
                  </pic:spPr>
                </pic:pic>
              </a:graphicData>
            </a:graphic>
          </wp:inline>
        </w:drawing>
      </w:r>
    </w:p>
    <w:p>
      <w:pPr>
        <w:jc w:val="center"/>
      </w:pPr>
      <w:r>
        <w:rPr>
          <w:b/>
          <w:color w:val="2D4634"/>
          <w:sz w:val="62"/>
        </w:rPr>
        <w:t>PFUNGWA</w:t>
      </w:r>
    </w:p>
    <w:p>
      <w:pPr>
        <w:jc w:val="center"/>
      </w:pPr>
      <w:r>
        <w:rPr>
          <w:b/>
          <w:color w:val="B05836"/>
          <w:sz w:val="38"/>
        </w:rPr>
        <w:t>Website &amp; Future NGO Concept</w:t>
      </w:r>
    </w:p>
    <w:p>
      <w:pPr>
        <w:jc w:val="center"/>
      </w:pPr>
      <w:r>
        <w:rPr>
          <w:color w:val="4A3427"/>
          <w:sz w:val="24"/>
        </w:rPr>
        <w:t>A mental-wellness initiative for Zimbabweans at home and across the diaspora</w:t>
      </w:r>
    </w:p>
    <w:p/>
    <w:p>
      <w:pPr>
        <w:ind w:left="360" w:right="360"/>
      </w:pPr>
      <w:r>
        <w:rPr>
          <w:b/>
          <w:color w:val="2D4634"/>
          <w:sz w:val="24"/>
        </w:rPr>
        <w:t>Your mind matters.</w:t>
      </w:r>
    </w:p>
    <w:p>
      <w:pPr>
        <w:jc w:val="center"/>
      </w:pPr>
      <w:r>
        <w:rPr>
          <w:i/>
          <w:color w:val="B05836"/>
        </w:rPr>
        <w:t>Gentle toward the person. Bold toward the problem.</w:t>
      </w:r>
    </w:p>
    <w:p>
      <w:r>
        <w:br w:type="page"/>
      </w:r>
    </w:p>
    <w:p>
      <w:pPr>
        <w:pStyle w:val="Heading1"/>
      </w:pPr>
      <w:r>
        <w:t>1. The idea</w:t>
      </w:r>
    </w:p>
    <w:p>
      <w:r>
        <w:t>PFUNGWA is a proposed Zimbabwean mental-wellness platform that will begin as a useful digital resource and community initiative, with the long-term ambition of developing into a formal nonprofit/NGO.</w:t>
      </w:r>
    </w:p>
    <w:p>
      <w:r>
        <w:t>The central idea is simple: awareness of mental health is growing, but knowledge gaps, misunderstanding and stigma can still make it difficult to recognise distress, talk openly and know where to seek appropriate support.</w:t>
      </w:r>
    </w:p>
    <w:p>
      <w:pPr>
        <w:ind w:left="360" w:right="360"/>
      </w:pPr>
      <w:r>
        <w:rPr>
          <w:b/>
          <w:color w:val="2D4634"/>
          <w:sz w:val="24"/>
        </w:rPr>
        <w:t>PFUNGWA aims to help move the conversation from awareness → understanding → conversation → support → change.</w:t>
      </w:r>
    </w:p>
    <w:p>
      <w:pPr>
        <w:pStyle w:val="Heading1"/>
      </w:pPr>
      <w:r>
        <w:t>2. Who PFUNGWA is for</w:t>
      </w:r>
    </w:p>
    <w:p>
      <w:r>
        <w:t>PFUNGWA is intended for Zimbabweans generally — across age groups, backgrounds and communities — both within Zimbabwe and across the diaspora.</w:t>
      </w:r>
    </w:p>
    <w:p>
      <w:r>
        <w:t>Over time, specific resources and programmes may be designed for young people, families, men, women and mothers, workplaces, schools, universities, communities and Zimbabweans living abroad.</w:t>
      </w:r>
    </w:p>
    <w:p>
      <w:pPr>
        <w:pStyle w:val="Heading1"/>
      </w:pPr>
      <w:r>
        <w:t>3. Vision &amp; mission</w:t>
      </w:r>
    </w:p>
    <w:p>
      <w:pPr>
        <w:pStyle w:val="Heading2"/>
      </w:pPr>
      <w:r>
        <w:t>Vision</w:t>
      </w:r>
    </w:p>
    <w:p>
      <w:pPr>
        <w:ind w:left="360" w:right="360"/>
      </w:pPr>
      <w:r>
        <w:rPr>
          <w:b/>
          <w:color w:val="2D4634"/>
          <w:sz w:val="24"/>
        </w:rPr>
        <w:t>A future where every Zimbabwean, wherever they are, can understand their mental health, speak about it without shame and access the support they need to thrive.</w:t>
      </w:r>
    </w:p>
    <w:p>
      <w:pPr>
        <w:pStyle w:val="Heading2"/>
      </w:pPr>
      <w:r>
        <w:t>Mission</w:t>
      </w:r>
    </w:p>
    <w:p>
      <w:r>
        <w:t>PFUNGWA works to improve mental-health literacy, challenge stigma and strengthen pathways to appropriate support for Zimbabweans at home and across the diaspora through culturally relevant education, community programmes, partnerships and research.</w:t>
      </w:r>
    </w:p>
    <w:p>
      <w:pPr>
        <w:pStyle w:val="Heading1"/>
      </w:pPr>
      <w:r>
        <w:t>4. Four pillars</w:t>
      </w:r>
    </w:p>
    <w:tbl>
      <w:tblPr>
        <w:tblW w:type="auto" w:w="0"/>
        <w:jc w:val="center"/>
        <w:tblLook w:firstColumn="1" w:firstRow="1" w:lastColumn="0" w:lastRow="0" w:noHBand="0" w:noVBand="1" w:val="04A0"/>
      </w:tblPr>
      <w:tblGrid>
        <w:gridCol w:w="4968"/>
        <w:gridCol w:w="4968"/>
      </w:tblGrid>
      <w:tr>
        <w:tc>
          <w:tcPr>
            <w:tcW w:type="dxa" w:w="4968"/>
            <w:shd w:fill="E9EFE7"/>
          </w:tcPr>
          <w:p>
            <w:r>
              <w:rPr>
                <w:b/>
                <w:color w:val="2D4634"/>
              </w:rPr>
              <w:t>EDUCATE</w:t>
            </w:r>
          </w:p>
        </w:tc>
        <w:tc>
          <w:tcPr>
            <w:tcW w:type="dxa" w:w="4968"/>
            <w:shd w:fill="F7F2E8"/>
          </w:tcPr>
          <w:p>
            <w:r>
              <w:t>Accessible, evidence-informed and culturally relevant mental-health information.</w:t>
            </w:r>
          </w:p>
        </w:tc>
      </w:tr>
      <w:tr>
        <w:tc>
          <w:tcPr>
            <w:tcW w:type="dxa" w:w="4968"/>
            <w:shd w:fill="E9EFE7"/>
          </w:tcPr>
          <w:p>
            <w:r>
              <w:rPr>
                <w:b/>
                <w:color w:val="2D4634"/>
              </w:rPr>
              <w:t>CONNECT</w:t>
            </w:r>
          </w:p>
        </w:tc>
        <w:tc>
          <w:tcPr>
            <w:tcW w:type="dxa" w:w="4968"/>
            <w:shd w:fill="F7F2E8"/>
          </w:tcPr>
          <w:p>
            <w:r>
              <w:t>Helping people understand and navigate appropriate pathways to support.</w:t>
            </w:r>
          </w:p>
        </w:tc>
      </w:tr>
      <w:tr>
        <w:tc>
          <w:tcPr>
            <w:tcW w:type="dxa" w:w="4968"/>
            <w:shd w:fill="E9EFE7"/>
          </w:tcPr>
          <w:p>
            <w:r>
              <w:rPr>
                <w:b/>
                <w:color w:val="2D4634"/>
              </w:rPr>
              <w:t>EMPOWER</w:t>
            </w:r>
          </w:p>
        </w:tc>
        <w:tc>
          <w:tcPr>
            <w:tcW w:type="dxa" w:w="4968"/>
            <w:shd w:fill="F7F2E8"/>
          </w:tcPr>
          <w:p>
            <w:r>
              <w:t>Giving individuals, families and communities practical knowledge and skills that support mental wellbeing.</w:t>
            </w:r>
          </w:p>
        </w:tc>
      </w:tr>
      <w:tr>
        <w:tc>
          <w:tcPr>
            <w:tcW w:type="dxa" w:w="4968"/>
            <w:shd w:fill="E9EFE7"/>
          </w:tcPr>
          <w:p>
            <w:r>
              <w:rPr>
                <w:b/>
                <w:color w:val="2D4634"/>
              </w:rPr>
              <w:t>RESEARCH</w:t>
            </w:r>
          </w:p>
        </w:tc>
        <w:tc>
          <w:tcPr>
            <w:tcW w:type="dxa" w:w="4968"/>
            <w:shd w:fill="F7F2E8"/>
          </w:tcPr>
          <w:p>
            <w:r>
              <w:t>Building responsible Zimbabwean mental-health insight through evaluation, community participation and future research.</w:t>
            </w:r>
          </w:p>
        </w:tc>
      </w:tr>
      <w:tr>
        <w:tc>
          <w:tcPr>
            <w:tcW w:type="dxa" w:w="4968"/>
          </w:tcPr>
          <w:p/>
        </w:tc>
        <w:tc>
          <w:tcPr>
            <w:tcW w:type="dxa" w:w="4968"/>
          </w:tcPr>
          <w:p/>
        </w:tc>
      </w:tr>
    </w:tbl>
    <w:p>
      <w:r>
        <w:br w:type="page"/>
      </w:r>
    </w:p>
    <w:p>
      <w:pPr>
        <w:pStyle w:val="Heading1"/>
      </w:pPr>
      <w:r>
        <w:t>5. Phase One — The PFUNGWA website</w:t>
      </w:r>
    </w:p>
    <w:p>
      <w:r>
        <w:t>The website is the proposed first public home of PFUNGWA. It should not simply describe the organisation; it should immediately help visitors understand mental health and find appropriate next steps.</w:t>
      </w:r>
    </w:p>
    <w:p>
      <w:pPr>
        <w:pStyle w:val="Heading2"/>
      </w:pPr>
      <w:r>
        <w:t>Core visitor journeys</w:t>
      </w:r>
    </w:p>
    <w:p>
      <w:pPr>
        <w:pStyle w:val="ListBullet"/>
      </w:pPr>
      <w:r>
        <w:t>I’m struggling → find support and understand possible next steps.</w:t>
      </w:r>
    </w:p>
    <w:p>
      <w:pPr>
        <w:pStyle w:val="ListBullet"/>
      </w:pPr>
      <w:r>
        <w:t>I’m worried about someone → learn how to support them safely.</w:t>
      </w:r>
    </w:p>
    <w:p>
      <w:pPr>
        <w:pStyle w:val="ListBullet"/>
      </w:pPr>
      <w:r>
        <w:t>I want to understand mental health → access clear educational resources.</w:t>
      </w:r>
    </w:p>
    <w:p>
      <w:pPr>
        <w:pStyle w:val="ListBullet"/>
      </w:pPr>
      <w:r>
        <w:t>I want to get involved → learn about programmes, partnerships and future opportunities.</w:t>
      </w:r>
    </w:p>
    <w:p>
      <w:pPr>
        <w:pStyle w:val="Heading2"/>
      </w:pPr>
      <w:r>
        <w:t>Proposed website structure</w:t>
      </w:r>
    </w:p>
    <w:p>
      <w:pPr>
        <w:pStyle w:val="ListBullet"/>
      </w:pPr>
      <w:r>
        <w:t>Home</w:t>
      </w:r>
    </w:p>
    <w:p>
      <w:pPr>
        <w:pStyle w:val="ListBullet"/>
      </w:pPr>
      <w:r>
        <w:t>Learn</w:t>
      </w:r>
    </w:p>
    <w:p>
      <w:pPr>
        <w:pStyle w:val="ListBullet"/>
      </w:pPr>
      <w:r>
        <w:t>Find Support / Urgent Help</w:t>
      </w:r>
    </w:p>
    <w:p>
      <w:pPr>
        <w:pStyle w:val="ListBullet"/>
      </w:pPr>
      <w:r>
        <w:t>PFUNGWA Schools</w:t>
      </w:r>
    </w:p>
    <w:p>
      <w:pPr>
        <w:pStyle w:val="ListBullet"/>
      </w:pPr>
      <w:r>
        <w:t>Research &amp; Insights</w:t>
      </w:r>
    </w:p>
    <w:p>
      <w:pPr>
        <w:pStyle w:val="ListBullet"/>
      </w:pPr>
      <w:r>
        <w:t>Resources</w:t>
      </w:r>
    </w:p>
    <w:p>
      <w:pPr>
        <w:pStyle w:val="ListBullet"/>
      </w:pPr>
      <w:r>
        <w:t>About PFUNGWA</w:t>
      </w:r>
    </w:p>
    <w:p>
      <w:pPr>
        <w:pStyle w:val="ListBullet"/>
      </w:pPr>
      <w:r>
        <w:t>Get Involved</w:t>
      </w:r>
    </w:p>
    <w:p>
      <w:pPr>
        <w:pStyle w:val="ListBullet"/>
      </w:pPr>
      <w:r>
        <w:t>Contact</w:t>
      </w:r>
    </w:p>
    <w:p>
      <w:pPr>
        <w:pStyle w:val="Heading2"/>
      </w:pPr>
      <w:r>
        <w:t>Homepage message</w:t>
      </w:r>
    </w:p>
    <w:p>
      <w:pPr>
        <w:ind w:left="360" w:right="360"/>
      </w:pPr>
      <w:r>
        <w:rPr>
          <w:b/>
          <w:color w:val="2D4634"/>
          <w:sz w:val="24"/>
        </w:rPr>
        <w:t>Your mind matters.</w:t>
      </w:r>
    </w:p>
    <w:p>
      <w:r>
        <w:t>Mental-health information, support pathways and culturally relevant resources for Zimbabweans at home and across the diaspora.</w:t>
      </w:r>
    </w:p>
    <w:p>
      <w:pPr>
        <w:pStyle w:val="Heading2"/>
      </w:pPr>
      <w:r>
        <w:t>Website experience</w:t>
      </w:r>
    </w:p>
    <w:p>
      <w:r>
        <w:t>The design should feel warm, contemporary, distinctly Zimbabwean and credible — not clinical, gloomy or charity-like. The approved visual direction uses earthy green, terracotta/clay, cream, dark brown and restrained warm-gold accents.</w:t>
      </w:r>
    </w:p>
    <w:p>
      <w:r>
        <w:t>The website should be mobile-first, accessible, easy to update through a content-management system and architected for future English, Shona and Ndebele content.</w:t>
      </w:r>
    </w:p>
    <w:p>
      <w:pPr>
        <w:pStyle w:val="Heading2"/>
      </w:pPr>
      <w:r>
        <w:t>What the first website will NOT be</w:t>
      </w:r>
    </w:p>
    <w:p>
      <w:pPr>
        <w:pStyle w:val="ListBullet"/>
      </w:pPr>
      <w:r>
        <w:t>An online therapy service</w:t>
      </w:r>
    </w:p>
    <w:p>
      <w:pPr>
        <w:pStyle w:val="ListBullet"/>
      </w:pPr>
      <w:r>
        <w:t>A diagnostic or self-diagnosis platform</w:t>
      </w:r>
    </w:p>
    <w:p>
      <w:pPr>
        <w:pStyle w:val="ListBullet"/>
      </w:pPr>
      <w:r>
        <w:t>An AI therapist/chatbot</w:t>
      </w:r>
    </w:p>
    <w:p>
      <w:pPr>
        <w:pStyle w:val="ListBullet"/>
      </w:pPr>
      <w:r>
        <w:t>A crisis-response service</w:t>
      </w:r>
    </w:p>
    <w:p>
      <w:pPr>
        <w:pStyle w:val="ListBullet"/>
      </w:pPr>
      <w:r>
        <w:t>A large unverified provider directory</w:t>
      </w:r>
    </w:p>
    <w:p>
      <w:pPr>
        <w:pStyle w:val="ListBullet"/>
      </w:pPr>
      <w:r>
        <w:t>A replacement for qualified professional care</w:t>
      </w:r>
    </w:p>
    <w:p>
      <w:pPr>
        <w:pStyle w:val="Heading1"/>
      </w:pPr>
      <w:r>
        <w:t>6. First flagship programme — PFUNGWA Schools</w:t>
      </w:r>
    </w:p>
    <w:p>
      <w:r>
        <w:t>PFUNGWA Schools is the proposed first real-world flagship programme, initially focused on Zimbabwean secondary/high-school communities and pupils approximately aged 13–18.</w:t>
      </w:r>
    </w:p>
    <w:tbl>
      <w:tblPr>
        <w:tblW w:type="auto" w:w="0"/>
        <w:jc w:val="center"/>
        <w:tblLook w:firstColumn="1" w:firstRow="1" w:lastColumn="0" w:lastRow="0" w:noHBand="0" w:noVBand="1" w:val="04A0"/>
      </w:tblPr>
      <w:tblGrid>
        <w:gridCol w:w="4968"/>
        <w:gridCol w:w="4968"/>
      </w:tblGrid>
      <w:tr>
        <w:tc>
          <w:tcPr>
            <w:tcW w:type="dxa" w:w="4968"/>
            <w:shd w:fill="F6E5DE"/>
          </w:tcPr>
          <w:p>
            <w:r>
              <w:rPr>
                <w:b/>
                <w:color w:val="B05836"/>
              </w:rPr>
              <w:t>STUDENTS — Understand yourself</w:t>
            </w:r>
          </w:p>
        </w:tc>
        <w:tc>
          <w:tcPr>
            <w:tcW w:type="dxa" w:w="4968"/>
            <w:shd w:fill="F7F2E8"/>
          </w:tcPr>
          <w:p>
            <w:r>
              <w:t>Mental-health literacy, coping, stigma reduction and appropriate help-seeking.</w:t>
            </w:r>
          </w:p>
        </w:tc>
      </w:tr>
      <w:tr>
        <w:tc>
          <w:tcPr>
            <w:tcW w:type="dxa" w:w="4968"/>
            <w:shd w:fill="F6E5DE"/>
          </w:tcPr>
          <w:p>
            <w:r>
              <w:rPr>
                <w:b/>
                <w:color w:val="B05836"/>
              </w:rPr>
              <w:t>TEACHERS — Recognise. Respond. Refer.</w:t>
            </w:r>
          </w:p>
        </w:tc>
        <w:tc>
          <w:tcPr>
            <w:tcW w:type="dxa" w:w="4968"/>
            <w:shd w:fill="F7F2E8"/>
          </w:tcPr>
          <w:p>
            <w:r>
              <w:t>Helping teachers notice concerns, respond supportively and use appropriate safeguarding/referral routes without becoming therapists.</w:t>
            </w:r>
          </w:p>
        </w:tc>
      </w:tr>
      <w:tr>
        <w:tc>
          <w:tcPr>
            <w:tcW w:type="dxa" w:w="4968"/>
            <w:shd w:fill="F6E5DE"/>
          </w:tcPr>
          <w:p>
            <w:r>
              <w:rPr>
                <w:b/>
                <w:color w:val="B05836"/>
              </w:rPr>
              <w:t>PARENTS &amp; CAREGIVERS — Understand. Listen. Support.</w:t>
            </w:r>
          </w:p>
        </w:tc>
        <w:tc>
          <w:tcPr>
            <w:tcW w:type="dxa" w:w="4968"/>
            <w:shd w:fill="F7F2E8"/>
          </w:tcPr>
          <w:p>
            <w:r>
              <w:t>Helping families understand adolescent wellbeing and build more supportive conversations at home.</w:t>
            </w:r>
          </w:p>
        </w:tc>
      </w:tr>
      <w:tr>
        <w:tc>
          <w:tcPr>
            <w:tcW w:type="dxa" w:w="4968"/>
          </w:tcPr>
          <w:p/>
        </w:tc>
        <w:tc>
          <w:tcPr>
            <w:tcW w:type="dxa" w:w="4968"/>
          </w:tcPr>
          <w:p/>
        </w:tc>
      </w:tr>
    </w:tbl>
    <w:p>
      <w:r>
        <w:t>The initial plan is to pilot the programme in one school, evaluate safety, acceptability and outcomes, refine it, and only then consider expansion.</w:t>
      </w:r>
    </w:p>
    <w:p>
      <w:r>
        <w:br w:type="page"/>
      </w:r>
    </w:p>
    <w:p>
      <w:pPr>
        <w:pStyle w:val="Heading1"/>
      </w:pPr>
      <w:r>
        <w:t>7. Long-term NGO model</w:t>
      </w:r>
    </w:p>
    <w:p>
      <w:r>
        <w:t>The intention is for PFUNGWA to grow carefully from a digital platform and pilot initiative into a credible mental-health nonprofit/NGO. The organisation should grow around demonstrated need and impact rather than attempting to launch every possible service at once.</w:t>
      </w:r>
    </w:p>
    <w:p>
      <w:pPr>
        <w:pStyle w:val="Heading2"/>
      </w:pPr>
      <w:r>
        <w:t>Possible future programme family</w:t>
      </w:r>
    </w:p>
    <w:p>
      <w:pPr>
        <w:pStyle w:val="ListBullet"/>
      </w:pPr>
      <w:r>
        <w:t>PFUNGWA Learn — public mental-health education and multilingual resources.</w:t>
      </w:r>
    </w:p>
    <w:p>
      <w:pPr>
        <w:pStyle w:val="ListBullet"/>
      </w:pPr>
      <w:r>
        <w:t>PFUNGWA Connect — verified pathways and directories to appropriate support.</w:t>
      </w:r>
    </w:p>
    <w:p>
      <w:pPr>
        <w:pStyle w:val="ListBullet"/>
      </w:pPr>
      <w:r>
        <w:t>PFUNGWA Schools — school-based mental-health literacy and wellbeing.</w:t>
      </w:r>
    </w:p>
    <w:p>
      <w:pPr>
        <w:pStyle w:val="ListBullet"/>
      </w:pPr>
      <w:r>
        <w:t>PFUNGWA Campus — future university/college programming.</w:t>
      </w:r>
    </w:p>
    <w:p>
      <w:pPr>
        <w:pStyle w:val="ListBullet"/>
      </w:pPr>
      <w:r>
        <w:t>PFUNGWA Work — future workplace mental-wellbeing programming.</w:t>
      </w:r>
    </w:p>
    <w:p>
      <w:pPr>
        <w:pStyle w:val="ListBullet"/>
      </w:pPr>
      <w:r>
        <w:t>PFUNGWA Diaspora — culturally relevant information and community engagement for Zimbabweans abroad.</w:t>
      </w:r>
    </w:p>
    <w:p>
      <w:pPr>
        <w:pStyle w:val="ListBullet"/>
      </w:pPr>
      <w:r>
        <w:t>PFUNGWA Research &amp; Insights — programme evaluation, community insight and future research.</w:t>
      </w:r>
    </w:p>
    <w:p>
      <w:pPr>
        <w:pStyle w:val="Heading1"/>
      </w:pPr>
      <w:r>
        <w:t>8. Governance &amp; credibility</w:t>
      </w:r>
    </w:p>
    <w:p>
      <w:r>
        <w:t>Before PFUNGWA presents itself as a clinical service or expands high-risk programmes, it should establish appropriate professional oversight and governance.</w:t>
      </w:r>
    </w:p>
    <w:p>
      <w:pPr>
        <w:pStyle w:val="ListBullet"/>
      </w:pPr>
      <w:r>
        <w:t>A governing board with independent expertise.</w:t>
      </w:r>
    </w:p>
    <w:p>
      <w:pPr>
        <w:pStyle w:val="ListBullet"/>
      </w:pPr>
      <w:r>
        <w:t>A Clinical &amp; Safeguarding Advisory Group.</w:t>
      </w:r>
    </w:p>
    <w:p>
      <w:pPr>
        <w:pStyle w:val="ListBullet"/>
      </w:pPr>
      <w:r>
        <w:t>Expertise in psychology/mental health, child protection, education, finance and legal/governance matters.</w:t>
      </w:r>
    </w:p>
    <w:p>
      <w:pPr>
        <w:pStyle w:val="ListBullet"/>
      </w:pPr>
      <w:r>
        <w:t>Clear safeguarding, referral, privacy and data-protection procedures.</w:t>
      </w:r>
    </w:p>
    <w:p>
      <w:pPr>
        <w:pStyle w:val="ListBullet"/>
      </w:pPr>
      <w:r>
        <w:t>Clinical review of mental-health content.</w:t>
      </w:r>
    </w:p>
    <w:p>
      <w:pPr>
        <w:pStyle w:val="ListBullet"/>
      </w:pPr>
      <w:r>
        <w:t>Ethical governance for any formal research.</w:t>
      </w:r>
    </w:p>
    <w:p>
      <w:pPr>
        <w:pStyle w:val="ListBullet"/>
      </w:pPr>
      <w:r>
        <w:t>Transparent monitoring, evaluation and reporting.</w:t>
      </w:r>
    </w:p>
    <w:p>
      <w:r>
        <w:t>PFUNGWA’s initial role should remain education, prevention, stigma reduction, community programming and connection to appropriate support. Direct clinical treatment would require the appropriate professional, organisational and jurisdiction-specific arrangements.</w:t>
      </w:r>
    </w:p>
    <w:p>
      <w:pPr>
        <w:pStyle w:val="Heading1"/>
      </w:pPr>
      <w:r>
        <w:t>9. How PFUNGWA could grow</w:t>
      </w:r>
    </w:p>
    <w:tbl>
      <w:tblPr>
        <w:tblW w:type="auto" w:w="0"/>
        <w:jc w:val="center"/>
        <w:tblLook w:firstColumn="1" w:firstRow="1" w:lastColumn="0" w:lastRow="0" w:noHBand="0" w:noVBand="1" w:val="04A0"/>
      </w:tblPr>
      <w:tblGrid>
        <w:gridCol w:w="4968"/>
        <w:gridCol w:w="4968"/>
      </w:tblGrid>
      <w:tr>
        <w:tc>
          <w:tcPr>
            <w:tcW w:type="dxa" w:w="4968"/>
            <w:shd w:fill="E9EFE7"/>
          </w:tcPr>
          <w:p>
            <w:r>
              <w:rPr>
                <w:b/>
                <w:color w:val="2D4634"/>
              </w:rPr>
              <w:t>Stage 1</w:t>
            </w:r>
          </w:p>
        </w:tc>
        <w:tc>
          <w:tcPr>
            <w:tcW w:type="dxa" w:w="4968"/>
            <w:shd w:fill="F7F2E8"/>
          </w:tcPr>
          <w:p>
            <w:r>
              <w:t>Build the brand, website and initial evidence-informed resource library.</w:t>
            </w:r>
          </w:p>
        </w:tc>
      </w:tr>
      <w:tr>
        <w:tc>
          <w:tcPr>
            <w:tcW w:type="dxa" w:w="4968"/>
            <w:shd w:fill="E9EFE7"/>
          </w:tcPr>
          <w:p>
            <w:r>
              <w:rPr>
                <w:b/>
                <w:color w:val="2D4634"/>
              </w:rPr>
              <w:t>Stage 2</w:t>
            </w:r>
          </w:p>
        </w:tc>
        <w:tc>
          <w:tcPr>
            <w:tcW w:type="dxa" w:w="4968"/>
            <w:shd w:fill="F7F2E8"/>
          </w:tcPr>
          <w:p>
            <w:r>
              <w:t>Establish professional advisers, safeguarding systems and verified support pathways.</w:t>
            </w:r>
          </w:p>
        </w:tc>
      </w:tr>
      <w:tr>
        <w:tc>
          <w:tcPr>
            <w:tcW w:type="dxa" w:w="4968"/>
            <w:shd w:fill="E9EFE7"/>
          </w:tcPr>
          <w:p>
            <w:r>
              <w:rPr>
                <w:b/>
                <w:color w:val="2D4634"/>
              </w:rPr>
              <w:t>Stage 3</w:t>
            </w:r>
          </w:p>
        </w:tc>
        <w:tc>
          <w:tcPr>
            <w:tcW w:type="dxa" w:w="4968"/>
            <w:shd w:fill="F7F2E8"/>
          </w:tcPr>
          <w:p>
            <w:r>
              <w:t>Co-design and pilot PFUNGWA Schools in one Zimbabwean school.</w:t>
            </w:r>
          </w:p>
        </w:tc>
      </w:tr>
      <w:tr>
        <w:tc>
          <w:tcPr>
            <w:tcW w:type="dxa" w:w="4968"/>
            <w:shd w:fill="E9EFE7"/>
          </w:tcPr>
          <w:p>
            <w:r>
              <w:rPr>
                <w:b/>
                <w:color w:val="2D4634"/>
              </w:rPr>
              <w:t>Stage 4</w:t>
            </w:r>
          </w:p>
        </w:tc>
        <w:tc>
          <w:tcPr>
            <w:tcW w:type="dxa" w:w="4968"/>
            <w:shd w:fill="F7F2E8"/>
          </w:tcPr>
          <w:p>
            <w:r>
              <w:t>Evaluate the pilot, publish appropriate impact findings and improve the programme.</w:t>
            </w:r>
          </w:p>
        </w:tc>
      </w:tr>
      <w:tr>
        <w:tc>
          <w:tcPr>
            <w:tcW w:type="dxa" w:w="4968"/>
            <w:shd w:fill="E9EFE7"/>
          </w:tcPr>
          <w:p>
            <w:r>
              <w:rPr>
                <w:b/>
                <w:color w:val="2D4634"/>
              </w:rPr>
              <w:t>Stage 5</w:t>
            </w:r>
          </w:p>
        </w:tc>
        <w:tc>
          <w:tcPr>
            <w:tcW w:type="dxa" w:w="4968"/>
            <w:shd w:fill="F7F2E8"/>
          </w:tcPr>
          <w:p>
            <w:r>
              <w:t>Develop partnerships and expand carefully to additional schools/communities.</w:t>
            </w:r>
          </w:p>
        </w:tc>
      </w:tr>
      <w:tr>
        <w:tc>
          <w:tcPr>
            <w:tcW w:type="dxa" w:w="4968"/>
            <w:shd w:fill="E9EFE7"/>
          </w:tcPr>
          <w:p>
            <w:r>
              <w:rPr>
                <w:b/>
                <w:color w:val="2D4634"/>
              </w:rPr>
              <w:t>Stage 6</w:t>
            </w:r>
          </w:p>
        </w:tc>
        <w:tc>
          <w:tcPr>
            <w:tcW w:type="dxa" w:w="4968"/>
            <w:shd w:fill="F7F2E8"/>
          </w:tcPr>
          <w:p>
            <w:r>
              <w:t>Develop the appropriate Zimbabwean nonprofit/NGO legal and governance structure.</w:t>
            </w:r>
          </w:p>
        </w:tc>
      </w:tr>
      <w:tr>
        <w:tc>
          <w:tcPr>
            <w:tcW w:type="dxa" w:w="4968"/>
            <w:shd w:fill="E9EFE7"/>
          </w:tcPr>
          <w:p>
            <w:r>
              <w:rPr>
                <w:b/>
                <w:color w:val="2D4634"/>
              </w:rPr>
              <w:t>Stage 7</w:t>
            </w:r>
          </w:p>
        </w:tc>
        <w:tc>
          <w:tcPr>
            <w:tcW w:type="dxa" w:w="4968"/>
            <w:shd w:fill="F7F2E8"/>
          </w:tcPr>
          <w:p>
            <w:r>
              <w:t>Seek grants, research collaborations, corporate partnerships and diaspora support based on demonstrated impact.</w:t>
            </w:r>
          </w:p>
        </w:tc>
      </w:tr>
      <w:tr>
        <w:tc>
          <w:tcPr>
            <w:tcW w:type="dxa" w:w="4968"/>
            <w:shd w:fill="E9EFE7"/>
          </w:tcPr>
          <w:p>
            <w:r>
              <w:rPr>
                <w:b/>
                <w:color w:val="2D4634"/>
              </w:rPr>
              <w:t>Long term</w:t>
            </w:r>
          </w:p>
        </w:tc>
        <w:tc>
          <w:tcPr>
            <w:tcW w:type="dxa" w:w="4968"/>
            <w:shd w:fill="F7F2E8"/>
          </w:tcPr>
          <w:p>
            <w:r>
              <w:t>Grow PFUNGWA into a trusted Zimbabwean mental-wellness organisation serving people at home and abroad.</w:t>
            </w:r>
          </w:p>
        </w:tc>
      </w:tr>
    </w:tbl>
    <w:p>
      <w:r>
        <w:br w:type="page"/>
      </w:r>
    </w:p>
    <w:p>
      <w:pPr>
        <w:pStyle w:val="Heading1"/>
      </w:pPr>
      <w:r>
        <w:t>10. What success could look like</w:t>
      </w:r>
    </w:p>
    <w:p>
      <w:r>
        <w:t>PFUNGWA should measure impact rather than relying only on reach or social-media engagement. Depending on the programme, future indicators could include:</w:t>
      </w:r>
    </w:p>
    <w:p>
      <w:pPr>
        <w:pStyle w:val="ListBullet"/>
      </w:pPr>
      <w:r>
        <w:t>Use of and engagement with mental-health resources.</w:t>
      </w:r>
    </w:p>
    <w:p>
      <w:pPr>
        <w:pStyle w:val="ListBullet"/>
      </w:pPr>
      <w:r>
        <w:t>Changes in mental-health literacy and stigma-related attitudes.</w:t>
      </w:r>
    </w:p>
    <w:p>
      <w:pPr>
        <w:pStyle w:val="ListBullet"/>
      </w:pPr>
      <w:r>
        <w:t>Knowledge of appropriate support pathways.</w:t>
      </w:r>
    </w:p>
    <w:p>
      <w:pPr>
        <w:pStyle w:val="ListBullet"/>
      </w:pPr>
      <w:r>
        <w:t>Participation and feedback from pupils, teachers and caregivers.</w:t>
      </w:r>
    </w:p>
    <w:p>
      <w:pPr>
        <w:pStyle w:val="ListBullet"/>
      </w:pPr>
      <w:r>
        <w:t>Number and quality of verified partnerships/referral pathways.</w:t>
      </w:r>
    </w:p>
    <w:p>
      <w:pPr>
        <w:pStyle w:val="ListBullet"/>
      </w:pPr>
      <w:r>
        <w:t>Programme safety and safeguarding performance.</w:t>
      </w:r>
    </w:p>
    <w:p>
      <w:pPr>
        <w:pStyle w:val="ListBullet"/>
      </w:pPr>
      <w:r>
        <w:t>Evidence from programme evaluations and future research.</w:t>
      </w:r>
    </w:p>
    <w:p>
      <w:pPr>
        <w:pStyle w:val="ListBullet"/>
      </w:pPr>
      <w:r>
        <w:t>Geographical and diaspora reach without sacrificing quality.</w:t>
      </w:r>
    </w:p>
    <w:p>
      <w:pPr>
        <w:pStyle w:val="Heading1"/>
      </w:pPr>
      <w:r>
        <w:t>11. What makes PFUNGWA distinctive</w:t>
      </w:r>
    </w:p>
    <w:p>
      <w:pPr>
        <w:pStyle w:val="ListBullet"/>
      </w:pPr>
      <w:r>
        <w:t>Zimbabwean at its core, while including Zimbabweans across the diaspora.</w:t>
      </w:r>
    </w:p>
    <w:p>
      <w:pPr>
        <w:pStyle w:val="ListBullet"/>
      </w:pPr>
      <w:r>
        <w:t>Culturally relevant rather than simply importing mental-health messaging from elsewhere.</w:t>
      </w:r>
    </w:p>
    <w:p>
      <w:pPr>
        <w:pStyle w:val="ListBullet"/>
      </w:pPr>
      <w:r>
        <w:t>Designed to become multilingual, including English, Shona and Ndebele.</w:t>
      </w:r>
    </w:p>
    <w:p>
      <w:pPr>
        <w:pStyle w:val="ListBullet"/>
      </w:pPr>
      <w:r>
        <w:t>Combines education, connection, community programming and research.</w:t>
      </w:r>
    </w:p>
    <w:p>
      <w:pPr>
        <w:pStyle w:val="ListBullet"/>
      </w:pPr>
      <w:r>
        <w:t>Warm and human in its communication while maintaining evidence and professional boundaries.</w:t>
      </w:r>
    </w:p>
    <w:p>
      <w:pPr>
        <w:pStyle w:val="ListBullet"/>
      </w:pPr>
      <w:r>
        <w:t>Designed to collaborate with existing services rather than unnecessarily duplicate them.</w:t>
      </w:r>
    </w:p>
    <w:p>
      <w:pPr>
        <w:pStyle w:val="Heading1"/>
      </w:pPr>
      <w:r>
        <w:t>12. Current status</w:t>
      </w:r>
    </w:p>
    <w:p>
      <w:r>
        <w:t>PFUNGWA is currently in the concept and development stage. The brand direction, organisational purpose, four pillars, website concept and first flagship programme have been developed. The next priority is building the Version 1 website while continuing professional review and preparation for the PFUNGWA Schools pilot.</w:t>
      </w:r>
    </w:p>
    <w:p>
      <w:pPr>
        <w:ind w:left="360" w:right="360"/>
      </w:pPr>
      <w:r>
        <w:rPr>
          <w:b/>
          <w:color w:val="2D4634"/>
          <w:sz w:val="24"/>
        </w:rPr>
        <w:t>PFUNGWA is not currently being presented as a clinical treatment provider, emergency service or completed registered NGO.</w:t>
      </w:r>
    </w:p>
    <w:p>
      <w:pPr>
        <w:pStyle w:val="Heading1"/>
      </w:pPr>
      <w:r>
        <w:t>13. The ambition</w:t>
      </w:r>
    </w:p>
    <w:p>
      <w:pPr>
        <w:ind w:left="360" w:right="360"/>
      </w:pPr>
      <w:r>
        <w:rPr>
          <w:b/>
          <w:color w:val="2D4634"/>
          <w:sz w:val="24"/>
        </w:rPr>
        <w:t>To build a trusted Zimbabwean mental-wellness organisation that helps people understand their minds, speak without shame, find appropriate support and strengthen mental wellbeing within families and communities — wherever Zimbabweans are.</w:t>
      </w:r>
    </w:p>
    <w:p>
      <w:pPr>
        <w:jc w:val="center"/>
      </w:pPr>
      <w:r>
        <w:rPr>
          <w:b/>
          <w:color w:val="2D4634"/>
          <w:sz w:val="44"/>
        </w:rPr>
        <w:t>PFUNGWA</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427"/>
        <w:sz w:val="16"/>
      </w:rPr>
      <w:t>PFUNGWA • Your mind matters. • Concept document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D4634"/>
        <w:sz w:val="16"/>
      </w:rPr>
      <w:t>PFUNGWA | Concept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A34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463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058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D46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