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8AB0C" w14:textId="44F63DF1" w:rsidR="00AD5858" w:rsidRPr="002146FB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2146F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Аркоксиа</w:t>
      </w:r>
      <w:proofErr w:type="spellEnd"/>
      <w:r w:rsidR="00F66F7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инструкция по применению</w:t>
      </w:r>
    </w:p>
    <w:p w14:paraId="73B2B891" w14:textId="2DA1E33B" w:rsidR="002146FB" w:rsidRDefault="002146FB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препарата</w:t>
      </w:r>
    </w:p>
    <w:p w14:paraId="4F26E93D" w14:textId="443D0341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нестероидный противовоспалительный препарат нового поколения из группы селективных ингибиторов циклооксигеназы-2 (ЦОГ-2). Он эффективно подавляет воспаление и боль при минимальном воздействии на слизистую желудка, что отличает его от классических НПВП.</w:t>
      </w:r>
    </w:p>
    <w:p w14:paraId="22CEA8FF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Препарат применяется при остеоартрите, ревматоидном артрите,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анкилозирующем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спондилите, подагре, а также для кратковременного обезболивания после стоматологических операций.</w:t>
      </w:r>
    </w:p>
    <w:p w14:paraId="4B6A9F20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 выпуска и состав</w:t>
      </w:r>
    </w:p>
    <w:p w14:paraId="54677AE5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выпускается в форме таблеток, покрытых плёночной оболочкой, в четырёх дозировках:</w:t>
      </w:r>
    </w:p>
    <w:p w14:paraId="20E28F17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30 мг,</w:t>
      </w:r>
    </w:p>
    <w:p w14:paraId="2E982E69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60 мг,</w:t>
      </w:r>
    </w:p>
    <w:p w14:paraId="1F394FCF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90 мг,</w:t>
      </w:r>
    </w:p>
    <w:p w14:paraId="74B76D9F" w14:textId="77777777" w:rsidR="00AD5858" w:rsidRPr="00AD5858" w:rsidRDefault="00AD5858" w:rsidP="00AD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120 мг.</w:t>
      </w:r>
    </w:p>
    <w:p w14:paraId="3BF55A28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Действующее вещество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эторикоксиб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etoricoxib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селективный ингибитор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2.</w:t>
      </w:r>
    </w:p>
    <w:p w14:paraId="4E9091DD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Вспомогательные компоненты включают: кальция фосфат, микрокристаллическую целлюлозу,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кроскармеллозу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натрия, магния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стеарат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оксид железа и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гипромеллозу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составе оболочки.</w:t>
      </w:r>
    </w:p>
    <w:p w14:paraId="66DBB187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Фармакологическое действие</w:t>
      </w:r>
    </w:p>
    <w:p w14:paraId="15367BBC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Эторикоксиб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блокирует активность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2 — фермента, участвующего в синтезе простагландинов, которые вызывают боль, жар и воспаление. В отличие от неселективных НПВП, он практически не влияет на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1, отвечающий за защиту слизистой ЖКТ.</w:t>
      </w:r>
    </w:p>
    <w:p w14:paraId="6635A027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</w:t>
      </w: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выраженное противовоспалительное и обезболивающее действие с меньшим риском желудочно-кишечных осложнений.</w:t>
      </w:r>
    </w:p>
    <w:p w14:paraId="73D3CAF7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Фармакодинамика</w:t>
      </w:r>
      <w:proofErr w:type="spellEnd"/>
    </w:p>
    <w:p w14:paraId="1F1E6483" w14:textId="77777777" w:rsidR="00AD5858" w:rsidRPr="00AD5858" w:rsidRDefault="00AD5858" w:rsidP="00AD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Купирует боль и воспаление при ревматологических заболеваниях, снижая утреннюю скованность, отёчность суставов и улучшая подвижность.</w:t>
      </w:r>
    </w:p>
    <w:p w14:paraId="6C02B5F3" w14:textId="77777777" w:rsidR="00AD5858" w:rsidRPr="00AD5858" w:rsidRDefault="00AD5858" w:rsidP="00AD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через 24 часа приёма наблюдается снижение болевого синдрома, особенно при острых болях.</w:t>
      </w:r>
    </w:p>
    <w:p w14:paraId="3F0B2C9B" w14:textId="77777777" w:rsidR="00AD5858" w:rsidRPr="00AD5858" w:rsidRDefault="00AD5858" w:rsidP="00AD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влияет на агрегацию тромбоцитов, не повышает риск кровотечений.</w:t>
      </w:r>
    </w:p>
    <w:p w14:paraId="2ABAFD9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Препарат демонстрирует высокую эффективность при длительном приёме у пациентов с остеоартритом и спондилоартритами.</w:t>
      </w:r>
    </w:p>
    <w:p w14:paraId="73C3B3D3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Фармакокинетика</w:t>
      </w:r>
    </w:p>
    <w:p w14:paraId="35D68A0F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Всасывание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быстрая абсорбция, максимальная концентрация в плазме через 1 час.</w:t>
      </w:r>
    </w:p>
    <w:p w14:paraId="027B2437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Биодоступность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100%.</w:t>
      </w:r>
    </w:p>
    <w:p w14:paraId="4928FF63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белками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92%.</w:t>
      </w:r>
    </w:p>
    <w:p w14:paraId="44DA55A7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Метаболизм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в печени через изофермент CYP3A4.</w:t>
      </w:r>
    </w:p>
    <w:p w14:paraId="0714CC9A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Выведение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преимущественно с мочой в виде метаболитов.</w:t>
      </w:r>
    </w:p>
    <w:p w14:paraId="43F9D6C2" w14:textId="77777777" w:rsidR="00AD5858" w:rsidRPr="00AD5858" w:rsidRDefault="00AD5858" w:rsidP="00AD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 полувыведения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22 часа — обеспечивает приём 1 раз в сутки.</w:t>
      </w:r>
    </w:p>
    <w:p w14:paraId="2F06F126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От чего помогает </w:t>
      </w:r>
      <w:proofErr w:type="spellStart"/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Аркоксиа</w:t>
      </w:r>
      <w:proofErr w:type="spellEnd"/>
    </w:p>
    <w:p w14:paraId="385E1A7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Показания к применению:</w:t>
      </w:r>
    </w:p>
    <w:p w14:paraId="0D294083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Остеоартрит,</w:t>
      </w:r>
    </w:p>
    <w:p w14:paraId="029CA4CE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Ревматоидный артрит,</w:t>
      </w:r>
    </w:p>
    <w:p w14:paraId="4E6B23B0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Анкилозирующий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спондилит (болезнь Бехтерева),</w:t>
      </w:r>
    </w:p>
    <w:p w14:paraId="7F450142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Острая подагра,</w:t>
      </w:r>
    </w:p>
    <w:p w14:paraId="154E4E85" w14:textId="77777777" w:rsidR="00AD5858" w:rsidRPr="00AD5858" w:rsidRDefault="00AD5858" w:rsidP="00AD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Послеоперационная боль (включая стоматологическую).</w:t>
      </w:r>
    </w:p>
    <w:p w14:paraId="7826FC6F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Препарат используется для </w:t>
      </w: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длительного лечения хронических болевых синдромов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для краткосрочного обезболивания после вмешательств.</w:t>
      </w:r>
    </w:p>
    <w:p w14:paraId="7DE09F7A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принимать и дозировка</w:t>
      </w:r>
    </w:p>
    <w:p w14:paraId="2D531723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Рекомендуемые схемы:</w:t>
      </w:r>
    </w:p>
    <w:p w14:paraId="67AB7174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Остеоартрит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30 мг или 60 мг 1 раз в сутки.</w:t>
      </w:r>
    </w:p>
    <w:p w14:paraId="372C63E1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Ревматоидный артрит / спондилит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60 мг или 90 мг 1 раз в сутки.</w:t>
      </w:r>
    </w:p>
    <w:p w14:paraId="3D00886E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Острая подагра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120 мг 1 раз в сутки, не более 8 дней.</w:t>
      </w:r>
    </w:p>
    <w:p w14:paraId="587EA7B2" w14:textId="77777777" w:rsidR="00AD5858" w:rsidRPr="00AD5858" w:rsidRDefault="00AD5858" w:rsidP="00AD5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Послеоперационная боль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90 мг 1 раз в сутки, максимум 3 дня.</w:t>
      </w:r>
    </w:p>
    <w:p w14:paraId="0DF4394D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Препарат принимают вне зависимости от еды, запивая водой. Максимальная суточная доза — 120 мг.</w:t>
      </w:r>
    </w:p>
    <w:p w14:paraId="6D46E615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длительных курсов требует регулярного контроля состояния пациента.</w:t>
      </w:r>
    </w:p>
    <w:p w14:paraId="12F29049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Противопоказания</w:t>
      </w:r>
    </w:p>
    <w:p w14:paraId="7E95FE42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proofErr w:type="spellEnd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противопоказан при:</w:t>
      </w:r>
    </w:p>
    <w:p w14:paraId="5B481D97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Сердечной недостаточности III–IV функционального класса,</w:t>
      </w:r>
    </w:p>
    <w:p w14:paraId="78A40E2E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Активной язве желудка, кровотечениях,</w:t>
      </w:r>
    </w:p>
    <w:p w14:paraId="48C1033B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Тяжёлых заболеваниях печени и почек,</w:t>
      </w:r>
    </w:p>
    <w:p w14:paraId="2FA5C67A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Неконтролируемой артериальной гипертензии,</w:t>
      </w:r>
    </w:p>
    <w:p w14:paraId="05BBFA36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Беременности и лактации,</w:t>
      </w:r>
    </w:p>
    <w:p w14:paraId="177A8C76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Возрасте до 16 лет,</w:t>
      </w:r>
    </w:p>
    <w:p w14:paraId="536B501A" w14:textId="77777777" w:rsidR="00AD5858" w:rsidRPr="00AD5858" w:rsidRDefault="00AD5858" w:rsidP="00AD5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Аллергии на НПВП или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эторикоксиб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E7800E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Применение при беременности и кормлении</w:t>
      </w:r>
    </w:p>
    <w:p w14:paraId="50287360" w14:textId="77777777" w:rsidR="00AD5858" w:rsidRPr="00AD5858" w:rsidRDefault="00AD5858" w:rsidP="00AD5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Беременность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противопоказан на всех сроках — ингибиторы ЦОГ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2 могут вызвать нарушения у плода.</w:t>
      </w:r>
    </w:p>
    <w:p w14:paraId="3ADEFEFF" w14:textId="77777777" w:rsidR="00AD5858" w:rsidRPr="00AD5858" w:rsidRDefault="00AD5858" w:rsidP="00AD5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Грудное вскармливание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применение не рекомендовано — неизвестно, проникает ли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эторикоксиб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молоко.</w:t>
      </w:r>
    </w:p>
    <w:p w14:paraId="17E93D4D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случае необходимости лечения — лактацию прекращают.</w:t>
      </w:r>
    </w:p>
    <w:p w14:paraId="0B7C8967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Побочные действия</w:t>
      </w:r>
    </w:p>
    <w:p w14:paraId="43AFF7DB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proofErr w:type="spellEnd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побочные действия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включают:</w:t>
      </w:r>
    </w:p>
    <w:p w14:paraId="50C45251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Головная боль, головокружение, слабость;</w:t>
      </w:r>
    </w:p>
    <w:p w14:paraId="1696CB64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Тошнота, изжога, боль в животе;</w:t>
      </w:r>
    </w:p>
    <w:p w14:paraId="32056643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артериального давления;</w:t>
      </w:r>
    </w:p>
    <w:p w14:paraId="1430F541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Отеки, прибавка в весе;</w:t>
      </w:r>
    </w:p>
    <w:p w14:paraId="353D7B15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печёночных ферментов;</w:t>
      </w:r>
    </w:p>
    <w:p w14:paraId="12A79E83" w14:textId="77777777" w:rsidR="00AD5858" w:rsidRPr="00AD5858" w:rsidRDefault="00AD5858" w:rsidP="00AD5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Аллергические реакции: кожная сыпь, зуд,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ангиоотёк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78BED0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Редко: желудочно-кишечные кровотечения, нарушения сердечного ритма, почечная недостаточность.</w:t>
      </w:r>
    </w:p>
    <w:p w14:paraId="0A3D0663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 сердечно-сосудистые осложнения у пациентов с соответствующими факторами риска.</w:t>
      </w:r>
    </w:p>
    <w:p w14:paraId="1998D513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Передозировка</w:t>
      </w:r>
    </w:p>
    <w:p w14:paraId="1732EF08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превышении дозы возможны:</w:t>
      </w:r>
    </w:p>
    <w:p w14:paraId="1808B111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Гипертония,</w:t>
      </w:r>
    </w:p>
    <w:p w14:paraId="207DA4A1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Тошнота,</w:t>
      </w:r>
    </w:p>
    <w:p w14:paraId="0F218AF5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Расстройства ЖКТ,</w:t>
      </w:r>
    </w:p>
    <w:p w14:paraId="14DCA403" w14:textId="77777777" w:rsidR="00AD5858" w:rsidRPr="00AD5858" w:rsidRDefault="00AD5858" w:rsidP="00AD58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 функций печени и почек.</w:t>
      </w:r>
    </w:p>
    <w:p w14:paraId="6F8CB3BF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Лечение симптоматическое. Гемодиализ неэффективен.</w:t>
      </w:r>
    </w:p>
    <w:p w14:paraId="253771BF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Взаимодействие с другими препаратами</w:t>
      </w:r>
    </w:p>
    <w:p w14:paraId="5B1385DA" w14:textId="77777777" w:rsidR="00AD5858" w:rsidRPr="00AD5858" w:rsidRDefault="00AD5858" w:rsidP="00AD5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концентрацию лития в крови.</w:t>
      </w:r>
    </w:p>
    <w:p w14:paraId="1702D164" w14:textId="77777777" w:rsidR="00AD5858" w:rsidRPr="00AD5858" w:rsidRDefault="00AD5858" w:rsidP="00AD5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Ослабляет эффект мочегонных и гипотензивных средств.</w:t>
      </w:r>
    </w:p>
    <w:p w14:paraId="6227B0F5" w14:textId="77777777" w:rsidR="00AD5858" w:rsidRPr="00AD5858" w:rsidRDefault="00AD5858" w:rsidP="00AD5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 риск осложнений при одновременном приёме с варфарином, метотрексатом.</w:t>
      </w:r>
    </w:p>
    <w:p w14:paraId="27BC99B9" w14:textId="77777777" w:rsidR="00AD5858" w:rsidRPr="00AD5858" w:rsidRDefault="00AD5858" w:rsidP="00AD58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рекомендуется совместно с другими НПВП и ГКС — возрастает риск язв и кровотечений.</w:t>
      </w:r>
    </w:p>
    <w:p w14:paraId="09620535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назначением важно проанализировать весь список принимаемых препаратов.</w:t>
      </w:r>
    </w:p>
    <w:p w14:paraId="7A848322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Особые указания</w:t>
      </w:r>
    </w:p>
    <w:p w14:paraId="48A7B58C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Аркоксиа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заменяет ацетилсалициловую кислоту при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кардиопротекции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ECA1FC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и в процессе лечения необходимо контролировать давление, печёночные ферменты и функции почек.</w:t>
      </w:r>
    </w:p>
    <w:p w14:paraId="650F307D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появлении отёков, повышения давления или нарушений ЖКТ — обратиться к врачу.</w:t>
      </w:r>
    </w:p>
    <w:p w14:paraId="12C4137D" w14:textId="77777777" w:rsidR="00AD5858" w:rsidRPr="00AD5858" w:rsidRDefault="00AD5858" w:rsidP="00AD58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влияет на когнитивные функции, но при головокружении рекомендуется избегать управления транспортом.</w:t>
      </w:r>
    </w:p>
    <w:p w14:paraId="4C9F8359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Аналоги </w:t>
      </w:r>
      <w:proofErr w:type="spellStart"/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Аркоксиа</w:t>
      </w:r>
      <w:proofErr w:type="spellEnd"/>
    </w:p>
    <w:p w14:paraId="1E7EDC6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Полные аналоги (по действующему веществу </w:t>
      </w: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эторикоксиб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3D93010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Эторикам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российский препарат, выпускается в дозировках 60 и 90 мг. Более доступный по цене.</w:t>
      </w:r>
    </w:p>
    <w:p w14:paraId="3E15797B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Эторикоксиб</w:t>
      </w:r>
      <w:proofErr w:type="spellEnd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-Рихтер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дженерик венгерского производства от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Gedeon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Richter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максимально приближен к оригиналу.</w:t>
      </w:r>
    </w:p>
    <w:p w14:paraId="58E228D7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Дилакс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таблетки с </w:t>
      </w:r>
      <w:proofErr w:type="spellStart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эторикоксибом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представленные в аптеках в стандартных дозировках.</w:t>
      </w:r>
    </w:p>
    <w:p w14:paraId="7745B30B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Коксибиа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менее известный препарат, применим как замена после согласования с врачом.</w:t>
      </w:r>
    </w:p>
    <w:p w14:paraId="47F29F43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Костарокс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бюджетный аналог для терапии воспалительных заболеваний.</w:t>
      </w:r>
    </w:p>
    <w:p w14:paraId="41D4A754" w14:textId="77777777" w:rsidR="00AD5858" w:rsidRPr="00AD5858" w:rsidRDefault="00AD5858" w:rsidP="00AD58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Брикаксиб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современный дженерик, зарегистрирован в РФ, используется при артритах и болевом синдроме.</w:t>
      </w:r>
    </w:p>
    <w:p w14:paraId="16242121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аналоги требуют рецепта и назначения врача.</w:t>
      </w:r>
    </w:p>
    <w:p w14:paraId="3B730FE8" w14:textId="77777777" w:rsidR="00AD5858" w:rsidRPr="00AD5858" w:rsidRDefault="00AD5858" w:rsidP="00AD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D585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Условия отпуска и хранения</w:t>
      </w:r>
    </w:p>
    <w:p w14:paraId="4835FBFE" w14:textId="77777777" w:rsidR="00AD5858" w:rsidRPr="00AD5858" w:rsidRDefault="00AD5858" w:rsidP="00AD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58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Аркоксиа</w:t>
      </w:r>
      <w:proofErr w:type="spellEnd"/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отпускается строго по рецепту.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Хранить при температуре не выше 25 °C в оригинальной упаковке.</w:t>
      </w:r>
      <w:r w:rsidRPr="00AD585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Беречь от детей. Срок годности — 3 года с даты выпуска.</w:t>
      </w:r>
    </w:p>
    <w:p w14:paraId="5A111F68" w14:textId="77777777" w:rsidR="00280A5F" w:rsidRDefault="00280A5F"/>
    <w:sectPr w:rsidR="00280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E2828"/>
    <w:multiLevelType w:val="multilevel"/>
    <w:tmpl w:val="934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111B"/>
    <w:multiLevelType w:val="multilevel"/>
    <w:tmpl w:val="CA44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76753"/>
    <w:multiLevelType w:val="multilevel"/>
    <w:tmpl w:val="301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505D"/>
    <w:multiLevelType w:val="multilevel"/>
    <w:tmpl w:val="B1E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37BE"/>
    <w:multiLevelType w:val="multilevel"/>
    <w:tmpl w:val="864E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07FEE"/>
    <w:multiLevelType w:val="multilevel"/>
    <w:tmpl w:val="3EA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65D4D"/>
    <w:multiLevelType w:val="multilevel"/>
    <w:tmpl w:val="31C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57B82"/>
    <w:multiLevelType w:val="multilevel"/>
    <w:tmpl w:val="1C1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B3517"/>
    <w:multiLevelType w:val="multilevel"/>
    <w:tmpl w:val="BFA2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95451"/>
    <w:multiLevelType w:val="multilevel"/>
    <w:tmpl w:val="FF2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A7058"/>
    <w:multiLevelType w:val="multilevel"/>
    <w:tmpl w:val="6FD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F117B"/>
    <w:multiLevelType w:val="multilevel"/>
    <w:tmpl w:val="8CD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6"/>
  </w:num>
  <w:num w:numId="5">
    <w:abstractNumId w:val="9"/>
  </w:num>
  <w:num w:numId="6">
    <w:abstractNumId w:val="10"/>
  </w:num>
  <w:num w:numId="7">
    <w:abstractNumId w:val="8"/>
  </w:num>
  <w:num w:numId="8">
    <w:abstractNumId w:val="0"/>
  </w:num>
  <w:num w:numId="9">
    <w:abstractNumId w:val="2"/>
  </w:num>
  <w:num w:numId="10">
    <w:abstractNumId w:val="4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858"/>
    <w:rsid w:val="002146FB"/>
    <w:rsid w:val="00280A5F"/>
    <w:rsid w:val="002B70A5"/>
    <w:rsid w:val="00920D95"/>
    <w:rsid w:val="00AD5858"/>
    <w:rsid w:val="00C33C8F"/>
    <w:rsid w:val="00F6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2B1B"/>
  <w15:chartTrackingRefBased/>
  <w15:docId w15:val="{E3FF1497-878B-4428-9796-6C36F5DE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D5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D58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D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D5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"Аптека-Риэлти"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Меленец</dc:creator>
  <cp:keywords/>
  <dc:description/>
  <cp:lastModifiedBy>Денис Бессонов</cp:lastModifiedBy>
  <cp:revision>6</cp:revision>
  <dcterms:created xsi:type="dcterms:W3CDTF">2025-10-23T12:05:00Z</dcterms:created>
  <dcterms:modified xsi:type="dcterms:W3CDTF">2025-10-23T12:13:00Z</dcterms:modified>
</cp:coreProperties>
</file>