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8AB0C" w14:textId="44F63DF1" w:rsidR="00AD5858" w:rsidRPr="002146FB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146F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Аркоксиа</w:t>
      </w:r>
      <w:r w:rsidR="00F66F7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инструкция по применению</w:t>
      </w:r>
    </w:p>
    <w:p w14:paraId="729232D2" w14:textId="538C097A" w:rsidR="00374A63" w:rsidRDefault="002146FB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препарата</w:t>
      </w:r>
    </w:p>
    <w:p w14:paraId="4F26E93D" w14:textId="443D0341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нестероидный противовоспалительный препарат нового поколения из группы селективных ингибиторов циклооксигеназы-2 (ЦОГ-2). Он эффективно подавляет воспаление и боль при минимальном воздействии на слизистую желудка, что отличает его от классических НПВП.</w:t>
      </w:r>
    </w:p>
    <w:p w14:paraId="22CEA8FF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Препарат применяется при остеоартрите, ревматоидном артрите, анкилозирующем спондилите, подагре, а также для кратковременного обезболивания после стоматологических операций.</w:t>
      </w:r>
    </w:p>
    <w:p w14:paraId="4B6A9F20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 выпуска и состав</w:t>
      </w:r>
    </w:p>
    <w:p w14:paraId="54677AE5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выпускается в форме таблеток, покрытых плёночной оболочкой, в четырёх дозировках:</w:t>
      </w:r>
    </w:p>
    <w:p w14:paraId="20E28F17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30 мг,</w:t>
      </w:r>
    </w:p>
    <w:p w14:paraId="2E982E69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60 мг,</w:t>
      </w:r>
    </w:p>
    <w:p w14:paraId="1F394FCF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90 мг,</w:t>
      </w:r>
    </w:p>
    <w:p w14:paraId="74B76D9F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120 мг.</w:t>
      </w:r>
    </w:p>
    <w:p w14:paraId="3BF55A28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Действующее вещество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эторикоксиб (etoricoxib), селективный ингибитор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2.</w:t>
      </w:r>
    </w:p>
    <w:p w14:paraId="4E9091DD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Вспомогательные компоненты включают: кальция фосфат, микрокристаллическую целлюлозу, кроскармеллозу натрия, магния стеарат, оксид железа и гипромеллозу в составе оболочки.</w:t>
      </w:r>
    </w:p>
    <w:p w14:paraId="66DBB187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Фармакологическое действие</w:t>
      </w:r>
    </w:p>
    <w:p w14:paraId="15367BBC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Эторикоксиб блокирует активность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2 — фермента, участвующего в синтезе простагландинов, которые вызывают боль, жар и воспаление. В отличие от неселективных НПВП, он практически не влияет на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1, отвечающий за защиту слизистой ЖКТ.</w:t>
      </w:r>
    </w:p>
    <w:p w14:paraId="6635A027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</w:t>
      </w: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выраженное противовоспалительное и обезболивающее действие с меньшим риском желудочно-кишечных осложнений.</w:t>
      </w:r>
    </w:p>
    <w:p w14:paraId="73D3CAF7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Фармакодинамика</w:t>
      </w:r>
    </w:p>
    <w:p w14:paraId="1F1E6483" w14:textId="77777777" w:rsidR="00AD5858" w:rsidRPr="00AD5858" w:rsidRDefault="00AD5858" w:rsidP="00AD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Купирует боль и воспаление при ревматологических заболеваниях, снижая утреннюю скованность, отёчность суставов и улучшая подвижность.</w:t>
      </w:r>
    </w:p>
    <w:p w14:paraId="6C02B5F3" w14:textId="77777777" w:rsidR="00AD5858" w:rsidRPr="00AD5858" w:rsidRDefault="00AD5858" w:rsidP="00AD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через 24 часа приёма наблюдается снижение болевого синдрома, особенно при острых болях.</w:t>
      </w:r>
    </w:p>
    <w:p w14:paraId="3F0B2C9B" w14:textId="77777777" w:rsidR="00AD5858" w:rsidRPr="00AD5858" w:rsidRDefault="00AD5858" w:rsidP="00AD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влияет на агрегацию тромбоцитов, не повышает риск кровотечений.</w:t>
      </w:r>
    </w:p>
    <w:p w14:paraId="2ABAFD9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Препарат демонстрирует высокую эффективность при длительном приёме у пациентов с остеоартритом и спондилоартритами.</w:t>
      </w:r>
    </w:p>
    <w:p w14:paraId="73C3B3D3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Фармакокинетика</w:t>
      </w:r>
    </w:p>
    <w:p w14:paraId="35D68A0F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Всасывание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быстрая абсорбция, максимальная концентрация в плазме через 1 час.</w:t>
      </w:r>
    </w:p>
    <w:p w14:paraId="027B2437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Биодоступность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100%.</w:t>
      </w:r>
    </w:p>
    <w:p w14:paraId="4928FF63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белками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92%.</w:t>
      </w:r>
    </w:p>
    <w:p w14:paraId="44DA55A7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Метаболизм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в печени через изофермент CYP3A4.</w:t>
      </w:r>
    </w:p>
    <w:p w14:paraId="0714CC9A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Выведение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преимущественно с мочой в виде метаболитов.</w:t>
      </w:r>
    </w:p>
    <w:p w14:paraId="43F9D6C2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 полувыведения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22 часа — обеспечивает приём 1 раз в сутки.</w:t>
      </w:r>
    </w:p>
    <w:p w14:paraId="2F06F126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 чего помогает Аркоксиа</w:t>
      </w:r>
    </w:p>
    <w:p w14:paraId="385E1A7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Показания к применению:</w:t>
      </w:r>
    </w:p>
    <w:p w14:paraId="0D294083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Остеоартрит,</w:t>
      </w:r>
    </w:p>
    <w:p w14:paraId="029CA4CE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Ревматоидный артрит,</w:t>
      </w:r>
    </w:p>
    <w:p w14:paraId="4E6B23B0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Анкилозирующий спондилит (болезнь Бехтерева),</w:t>
      </w:r>
    </w:p>
    <w:p w14:paraId="7F450142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Острая подагра,</w:t>
      </w:r>
    </w:p>
    <w:p w14:paraId="154E4E85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Послеоперационная боль (включая стоматологическую).</w:t>
      </w:r>
    </w:p>
    <w:p w14:paraId="7826FC6F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Препарат используется для </w:t>
      </w: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длительного лечения хронических болевых синдромов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для краткосрочного обезболивания после вмешательств.</w:t>
      </w:r>
    </w:p>
    <w:p w14:paraId="7DE09F7A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принимать и дозировка</w:t>
      </w:r>
    </w:p>
    <w:p w14:paraId="2D531723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Рекомендуемые схемы:</w:t>
      </w:r>
    </w:p>
    <w:p w14:paraId="67AB7174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Остеоартрит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30 мг или 60 мг 1 раз в сутки.</w:t>
      </w:r>
    </w:p>
    <w:p w14:paraId="372C63E1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Ревматоидный артрит / спондилит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60 мг или 90 мг 1 раз в сутки.</w:t>
      </w:r>
    </w:p>
    <w:p w14:paraId="3D00886E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Острая подагра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120 мг 1 раз в сутки, не более 8 дней.</w:t>
      </w:r>
    </w:p>
    <w:p w14:paraId="587EA7B2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Послеоперационная боль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90 мг 1 раз в сутки, максимум 3 дня.</w:t>
      </w:r>
    </w:p>
    <w:p w14:paraId="0DF4394D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Препарат принимают вне зависимости от еды, запивая водой. Максимальная суточная доза — 120 мг.</w:t>
      </w:r>
    </w:p>
    <w:p w14:paraId="6D46E615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длительных курсов требует регулярного контроля состояния пациента.</w:t>
      </w:r>
    </w:p>
    <w:p w14:paraId="12F29049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Противопоказания</w:t>
      </w:r>
    </w:p>
    <w:p w14:paraId="7E95FE42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 противопоказан при:</w:t>
      </w:r>
    </w:p>
    <w:p w14:paraId="5B481D97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Сердечной недостаточности III–IV функционального класса,</w:t>
      </w:r>
    </w:p>
    <w:p w14:paraId="78A40E2E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Активной язве желудка, кровотечениях,</w:t>
      </w:r>
    </w:p>
    <w:p w14:paraId="48C1033B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Тяжёлых заболеваниях печени и почек,</w:t>
      </w:r>
    </w:p>
    <w:p w14:paraId="2FA5C67A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Неконтролируемой артериальной гипертензии,</w:t>
      </w:r>
    </w:p>
    <w:p w14:paraId="05BBFA36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Беременности и лактации,</w:t>
      </w:r>
    </w:p>
    <w:p w14:paraId="177A8C76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Возрасте до 16 лет,</w:t>
      </w:r>
    </w:p>
    <w:p w14:paraId="536B501A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Аллергии на НПВП или эторикоксиб.</w:t>
      </w:r>
    </w:p>
    <w:p w14:paraId="54E7800E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Применение при беременности и кормлении</w:t>
      </w:r>
    </w:p>
    <w:p w14:paraId="50287360" w14:textId="77777777" w:rsidR="00AD5858" w:rsidRPr="00AD5858" w:rsidRDefault="00AD5858" w:rsidP="00AD5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Беременность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противопоказан на всех сроках — ингибиторы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2 могут вызвать нарушения у плода.</w:t>
      </w:r>
    </w:p>
    <w:p w14:paraId="3ADEFEFF" w14:textId="77777777" w:rsidR="00AD5858" w:rsidRPr="00AD5858" w:rsidRDefault="00AD5858" w:rsidP="00AD5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Грудное вскармливание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применение не рекомендовано — неизвестно, проникает ли эторикоксиб в молоко.</w:t>
      </w:r>
    </w:p>
    <w:p w14:paraId="17E93D4D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случае необходимости лечения — лактацию прекращают.</w:t>
      </w:r>
    </w:p>
    <w:p w14:paraId="0B7C8967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Побочные действия</w:t>
      </w:r>
    </w:p>
    <w:p w14:paraId="43AFF7DB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 побочные действия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включают:</w:t>
      </w:r>
    </w:p>
    <w:p w14:paraId="50C45251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Головная боль, головокружение, слабость;</w:t>
      </w:r>
    </w:p>
    <w:p w14:paraId="1696CB64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Тошнота, изжога, боль в животе;</w:t>
      </w:r>
    </w:p>
    <w:p w14:paraId="32056643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артериального давления;</w:t>
      </w:r>
    </w:p>
    <w:p w14:paraId="1430F541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Отеки, прибавка в весе;</w:t>
      </w:r>
    </w:p>
    <w:p w14:paraId="353D7B15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печёночных ферментов;</w:t>
      </w:r>
    </w:p>
    <w:p w14:paraId="12A79E83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Аллергические реакции: кожная сыпь, зуд, ангиоотёк.</w:t>
      </w:r>
    </w:p>
    <w:p w14:paraId="4378BED0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Редко: желудочно-кишечные кровотечения, нарушения сердечного ритма, почечная недостаточность.</w:t>
      </w:r>
    </w:p>
    <w:p w14:paraId="0A3D0663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 сердечно-сосудистые осложнения у пациентов с соответствующими факторами риска.</w:t>
      </w:r>
    </w:p>
    <w:p w14:paraId="1998D513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Передозировка</w:t>
      </w:r>
    </w:p>
    <w:p w14:paraId="1732EF08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превышении дозы возможны:</w:t>
      </w:r>
    </w:p>
    <w:p w14:paraId="1808B111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Гипертония,</w:t>
      </w:r>
    </w:p>
    <w:p w14:paraId="207DA4A1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Тошнота,</w:t>
      </w:r>
    </w:p>
    <w:p w14:paraId="0F218AF5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Расстройства ЖКТ,</w:t>
      </w:r>
    </w:p>
    <w:p w14:paraId="14DCA403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 функций печени и почек.</w:t>
      </w:r>
    </w:p>
    <w:p w14:paraId="6F8CB3BF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Лечение симптоматическое. Гемодиализ неэффективен.</w:t>
      </w:r>
    </w:p>
    <w:p w14:paraId="253771BF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Взаимодействие с другими препаратами</w:t>
      </w:r>
    </w:p>
    <w:p w14:paraId="5B1385DA" w14:textId="77777777" w:rsidR="00AD5858" w:rsidRPr="00AD5858" w:rsidRDefault="00AD5858" w:rsidP="00AD5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концентрацию лития в крови.</w:t>
      </w:r>
    </w:p>
    <w:p w14:paraId="1702D164" w14:textId="77777777" w:rsidR="00AD5858" w:rsidRPr="00AD5858" w:rsidRDefault="00AD5858" w:rsidP="00AD5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Ослабляет эффект мочегонных и гипотензивных средств.</w:t>
      </w:r>
    </w:p>
    <w:p w14:paraId="6227B0F5" w14:textId="77777777" w:rsidR="00AD5858" w:rsidRPr="00AD5858" w:rsidRDefault="00AD5858" w:rsidP="00AD5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риск осложнений при одновременном приёме с варфарином, метотрексатом.</w:t>
      </w:r>
    </w:p>
    <w:p w14:paraId="16705051" w14:textId="0EAAB209" w:rsidR="00392015" w:rsidRDefault="00AD5858" w:rsidP="003920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рекомендуется совместно с другими НПВП и ГКС — возрастает риск язв и кровотечений.</w:t>
      </w:r>
    </w:p>
    <w:tbl>
      <w:tblPr>
        <w:tblStyle w:val="a7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078E2" w14:paraId="5E6F688F" w14:textId="77777777" w:rsidTr="00EA77F4">
        <w:tc>
          <w:tcPr>
            <w:tcW w:w="4672" w:type="dxa"/>
          </w:tcPr>
          <w:p w14:paraId="0CACED5E" w14:textId="70090665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b/>
                <w:bCs/>
                <w:color w:val="19263A"/>
                <w:sz w:val="24"/>
                <w:szCs w:val="24"/>
                <w:lang w:eastAsia="ru-RU"/>
              </w:rPr>
              <w:t>Взаимодействие</w:t>
            </w:r>
          </w:p>
        </w:tc>
        <w:tc>
          <w:tcPr>
            <w:tcW w:w="4673" w:type="dxa"/>
          </w:tcPr>
          <w:p w14:paraId="611ADBCE" w14:textId="7753758D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b/>
                <w:bCs/>
                <w:color w:val="19263A"/>
                <w:sz w:val="24"/>
                <w:szCs w:val="24"/>
                <w:lang w:eastAsia="ru-RU"/>
              </w:rPr>
              <w:t>Другие лекарственные препараты</w:t>
            </w:r>
          </w:p>
        </w:tc>
      </w:tr>
      <w:tr w:rsidR="00A078E2" w14:paraId="7C096141" w14:textId="77777777" w:rsidTr="00EA77F4">
        <w:tc>
          <w:tcPr>
            <w:tcW w:w="4672" w:type="dxa"/>
          </w:tcPr>
          <w:p w14:paraId="730B14BB" w14:textId="2D62CE26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Стимулирование синтеза гидроксилированных активных метаболитов, что приводит к тяжелым интоксикациям.</w:t>
            </w:r>
          </w:p>
        </w:tc>
        <w:tc>
          <w:tcPr>
            <w:tcW w:w="4673" w:type="dxa"/>
          </w:tcPr>
          <w:p w14:paraId="0B274186" w14:textId="2988C5A3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Индукторы ферментов микросомального окисления в печени: фенитоин, этанол, барбитураты, флумецинол, рифампицин, фенилбутазон, трициклические антидепрессанты.</w:t>
            </w:r>
          </w:p>
        </w:tc>
      </w:tr>
      <w:tr w:rsidR="00A078E2" w14:paraId="2DDB2AD7" w14:textId="77777777" w:rsidTr="00EA77F4">
        <w:tc>
          <w:tcPr>
            <w:tcW w:w="4672" w:type="dxa"/>
          </w:tcPr>
          <w:p w14:paraId="0EE507EE" w14:textId="791BE7A3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Минимизация вероятности формирования гепатотоксического эффекта.</w:t>
            </w:r>
          </w:p>
        </w:tc>
        <w:tc>
          <w:tcPr>
            <w:tcW w:w="4673" w:type="dxa"/>
          </w:tcPr>
          <w:p w14:paraId="036DFEF8" w14:textId="3BC6BF74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Ингибиторы микросомального окисления.</w:t>
            </w:r>
          </w:p>
        </w:tc>
      </w:tr>
      <w:tr w:rsidR="00A078E2" w14:paraId="587F611E" w14:textId="77777777" w:rsidTr="00EA77F4">
        <w:tc>
          <w:tcPr>
            <w:tcW w:w="4672" w:type="dxa"/>
          </w:tcPr>
          <w:p w14:paraId="4C073D2A" w14:textId="6727AEF0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Ибупрофен оказывает негативное влияние на эффективность работы указанных средств.</w:t>
            </w:r>
          </w:p>
        </w:tc>
        <w:tc>
          <w:tcPr>
            <w:tcW w:w="4673" w:type="dxa"/>
          </w:tcPr>
          <w:p w14:paraId="4CC263E7" w14:textId="133A0ABC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Вазодилататоры, фуросемид, гидрохлоротиазиды, урикозурические препараты.</w:t>
            </w:r>
          </w:p>
        </w:tc>
      </w:tr>
      <w:tr w:rsidR="00A078E2" w14:paraId="28D6F07D" w14:textId="77777777" w:rsidTr="00EA77F4">
        <w:tc>
          <w:tcPr>
            <w:tcW w:w="4672" w:type="dxa"/>
          </w:tcPr>
          <w:p w14:paraId="29BDB1B0" w14:textId="5CC547B7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Повышение риска возникновения кровотечений.</w:t>
            </w:r>
          </w:p>
        </w:tc>
        <w:tc>
          <w:tcPr>
            <w:tcW w:w="4673" w:type="dxa"/>
          </w:tcPr>
          <w:p w14:paraId="6D567517" w14:textId="6E464A7D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Антикоагулянты, антиагреганты, фибринолитики.</w:t>
            </w:r>
          </w:p>
        </w:tc>
      </w:tr>
      <w:tr w:rsidR="00A078E2" w14:paraId="7C4BDD14" w14:textId="77777777" w:rsidTr="00EA77F4">
        <w:tc>
          <w:tcPr>
            <w:tcW w:w="4672" w:type="dxa"/>
          </w:tcPr>
          <w:p w14:paraId="58D4ABEC" w14:textId="61595C7E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lastRenderedPageBreak/>
              <w:t>Потеря эффективности Ибупрофена.</w:t>
            </w:r>
          </w:p>
        </w:tc>
        <w:tc>
          <w:tcPr>
            <w:tcW w:w="4673" w:type="dxa"/>
          </w:tcPr>
          <w:p w14:paraId="71D465A2" w14:textId="1F98B135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Антациды.</w:t>
            </w:r>
          </w:p>
        </w:tc>
      </w:tr>
      <w:tr w:rsidR="00A078E2" w14:paraId="03F684A5" w14:textId="77777777" w:rsidTr="00EA77F4">
        <w:tc>
          <w:tcPr>
            <w:tcW w:w="4672" w:type="dxa"/>
          </w:tcPr>
          <w:p w14:paraId="056D3165" w14:textId="349A9465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Повышение риска возникновения желудочно-кишечных кровотечений.</w:t>
            </w:r>
          </w:p>
        </w:tc>
        <w:tc>
          <w:tcPr>
            <w:tcW w:w="4673" w:type="dxa"/>
          </w:tcPr>
          <w:p w14:paraId="490C9D2C" w14:textId="2E900E78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Минералокортикостероиды, глюкокортикостероиды, этанол.</w:t>
            </w:r>
          </w:p>
        </w:tc>
      </w:tr>
      <w:tr w:rsidR="00A078E2" w14:paraId="49E88449" w14:textId="77777777" w:rsidTr="00EA77F4">
        <w:tc>
          <w:tcPr>
            <w:tcW w:w="4672" w:type="dxa"/>
          </w:tcPr>
          <w:p w14:paraId="234B5162" w14:textId="5D174C40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Усиление гипогликемического эффекта.</w:t>
            </w:r>
          </w:p>
        </w:tc>
        <w:tc>
          <w:tcPr>
            <w:tcW w:w="4673" w:type="dxa"/>
          </w:tcPr>
          <w:p w14:paraId="1B7DF339" w14:textId="1BA9DC3D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Производные сульфонилмочевины.</w:t>
            </w:r>
          </w:p>
        </w:tc>
      </w:tr>
      <w:tr w:rsidR="00A078E2" w14:paraId="41EDCB29" w14:textId="77777777" w:rsidTr="00EA77F4">
        <w:tc>
          <w:tcPr>
            <w:tcW w:w="4672" w:type="dxa"/>
          </w:tcPr>
          <w:p w14:paraId="7827AF4B" w14:textId="721066AA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Риск возникновения и выраженность побочных эффектов.</w:t>
            </w:r>
          </w:p>
        </w:tc>
        <w:tc>
          <w:tcPr>
            <w:tcW w:w="4673" w:type="dxa"/>
          </w:tcPr>
          <w:p w14:paraId="257CDB17" w14:textId="2CB455BE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Два и более НПВП.</w:t>
            </w:r>
          </w:p>
        </w:tc>
      </w:tr>
      <w:tr w:rsidR="00A078E2" w14:paraId="337C8830" w14:textId="77777777" w:rsidTr="00EA77F4">
        <w:tc>
          <w:tcPr>
            <w:tcW w:w="4672" w:type="dxa"/>
          </w:tcPr>
          <w:p w14:paraId="5A97BA83" w14:textId="3795DA63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Усиление обезболивающего действия.</w:t>
            </w:r>
          </w:p>
        </w:tc>
        <w:tc>
          <w:tcPr>
            <w:tcW w:w="4673" w:type="dxa"/>
          </w:tcPr>
          <w:p w14:paraId="09DB0C89" w14:textId="2190F301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Кофеин.</w:t>
            </w:r>
          </w:p>
        </w:tc>
      </w:tr>
      <w:tr w:rsidR="00A078E2" w14:paraId="33C76F13" w14:textId="77777777" w:rsidTr="00EA77F4">
        <w:tc>
          <w:tcPr>
            <w:tcW w:w="4672" w:type="dxa"/>
          </w:tcPr>
          <w:p w14:paraId="4B81578D" w14:textId="53544AF6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Снижение противовоспалительного и антиагрегантного действия лекарственного препарата.</w:t>
            </w:r>
          </w:p>
        </w:tc>
        <w:tc>
          <w:tcPr>
            <w:tcW w:w="4673" w:type="dxa"/>
          </w:tcPr>
          <w:p w14:paraId="3C08AC51" w14:textId="63FC0B0C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Салицилаты.</w:t>
            </w:r>
          </w:p>
        </w:tc>
      </w:tr>
      <w:tr w:rsidR="00A078E2" w14:paraId="12511E5B" w14:textId="77777777" w:rsidTr="00EA77F4">
        <w:tc>
          <w:tcPr>
            <w:tcW w:w="4672" w:type="dxa"/>
          </w:tcPr>
          <w:p w14:paraId="04FD08F8" w14:textId="3BC20C27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Повышается вероятность развития гипотромбинемии.</w:t>
            </w:r>
          </w:p>
        </w:tc>
        <w:tc>
          <w:tcPr>
            <w:tcW w:w="4673" w:type="dxa"/>
          </w:tcPr>
          <w:p w14:paraId="7A4DB622" w14:textId="4631C773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Цефамандол, цефоперазон, цефотетан, вальпроевая кислота, пликамицин.</w:t>
            </w:r>
          </w:p>
        </w:tc>
      </w:tr>
      <w:tr w:rsidR="00A078E2" w14:paraId="1A230AE2" w14:textId="77777777" w:rsidTr="00EA77F4">
        <w:tc>
          <w:tcPr>
            <w:tcW w:w="4672" w:type="dxa"/>
          </w:tcPr>
          <w:p w14:paraId="4D064108" w14:textId="30B0DF72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Повышение гематотоксичности Ибупрофена.</w:t>
            </w:r>
          </w:p>
        </w:tc>
        <w:tc>
          <w:tcPr>
            <w:tcW w:w="4673" w:type="dxa"/>
          </w:tcPr>
          <w:p w14:paraId="03F99DB0" w14:textId="4A9677FB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Миелотоксические лекарственные средства.</w:t>
            </w:r>
          </w:p>
        </w:tc>
      </w:tr>
      <w:tr w:rsidR="00A078E2" w14:paraId="26AC4A3A" w14:textId="77777777" w:rsidTr="00EA77F4">
        <w:tc>
          <w:tcPr>
            <w:tcW w:w="4672" w:type="dxa"/>
          </w:tcPr>
          <w:p w14:paraId="4D653E71" w14:textId="799601E2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Стимулирование эффекта ибупрофена.</w:t>
            </w:r>
          </w:p>
        </w:tc>
        <w:tc>
          <w:tcPr>
            <w:tcW w:w="4673" w:type="dxa"/>
          </w:tcPr>
          <w:p w14:paraId="401953AF" w14:textId="0742FABC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Циклоспорин и препараты с содержанием золота.</w:t>
            </w:r>
          </w:p>
        </w:tc>
      </w:tr>
      <w:tr w:rsidR="00A078E2" w14:paraId="7A714A73" w14:textId="77777777" w:rsidTr="00EA77F4">
        <w:tc>
          <w:tcPr>
            <w:tcW w:w="4672" w:type="dxa"/>
          </w:tcPr>
          <w:p w14:paraId="3AA84AE4" w14:textId="2D902A0C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Снижение скорости выведения ибупрофена и повышение его концентрации в крови.</w:t>
            </w:r>
          </w:p>
        </w:tc>
        <w:tc>
          <w:tcPr>
            <w:tcW w:w="4673" w:type="dxa"/>
          </w:tcPr>
          <w:p w14:paraId="654DF307" w14:textId="27F9F69D" w:rsidR="00A078E2" w:rsidRDefault="00A078E2" w:rsidP="00A07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2FCC">
              <w:rPr>
                <w:rFonts w:ascii="Times New Roman" w:eastAsia="Times New Roman" w:hAnsi="Times New Roman" w:cs="Times New Roman"/>
                <w:color w:val="19263A"/>
                <w:sz w:val="24"/>
                <w:szCs w:val="24"/>
                <w:lang w:eastAsia="ru-RU"/>
              </w:rPr>
              <w:t>Блокаторы кальциевых канальцев.</w:t>
            </w:r>
          </w:p>
        </w:tc>
      </w:tr>
    </w:tbl>
    <w:p w14:paraId="09620535" w14:textId="70E1D123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назначением важно проанализировать весь список принимаемых препаратов.</w:t>
      </w:r>
    </w:p>
    <w:p w14:paraId="7A848322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Особые указания</w:t>
      </w:r>
    </w:p>
    <w:p w14:paraId="48A7B58C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Аркоксиа не заменяет ацетилсалициловую кислоту при кардиопротекции.</w:t>
      </w:r>
    </w:p>
    <w:p w14:paraId="64ECA1FC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и в процессе лечения необходимо контролировать давление, печёночные ферменты и функции почек.</w:t>
      </w:r>
    </w:p>
    <w:p w14:paraId="650F307D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появлении отёков, повышения давления или нарушений ЖКТ — обратиться к врачу.</w:t>
      </w:r>
    </w:p>
    <w:p w14:paraId="12C4137D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влияет на когнитивные функции, но при головокружении рекомендуется избегать управления транспортом.</w:t>
      </w:r>
    </w:p>
    <w:p w14:paraId="4C9F8359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Аналоги Аркоксиа</w:t>
      </w:r>
    </w:p>
    <w:p w14:paraId="1E7EDC6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Полные аналоги (по действующему веществу </w:t>
      </w: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эторикоксиб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3D93010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Эторикам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российский препарат, выпускается в дозировках 60 и 90 мг. Более доступный по цене.</w:t>
      </w:r>
    </w:p>
    <w:p w14:paraId="3E15797B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Эторикоксиб-Рихтер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дженерик венгерского производства от Gedeon Richter, максимально приближен к оригиналу.</w:t>
      </w:r>
    </w:p>
    <w:p w14:paraId="58E228D7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Дилакс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таблетки с эторикоксибом, представленные в аптеках в стандартных дозировках.</w:t>
      </w:r>
    </w:p>
    <w:p w14:paraId="7745B30B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Коксибиа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менее известный препарат, применим как замена после согласования с врачом.</w:t>
      </w:r>
    </w:p>
    <w:p w14:paraId="47F29F43" w14:textId="79AD68C0" w:rsidR="00AD5858" w:rsidRPr="00AD5858" w:rsidRDefault="00000000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="00AD5858" w:rsidRPr="00D4417B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Костарокс</w:t>
        </w:r>
      </w:hyperlink>
      <w:r w:rsidR="00AD5858"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бюджетный аналог для терапии воспалительных заболеваний.</w:t>
      </w:r>
    </w:p>
    <w:p w14:paraId="41D4A754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Брикаксиб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современный дженерик, зарегистрирован в РФ, используется при артритах и болевом синдроме.</w:t>
      </w:r>
    </w:p>
    <w:p w14:paraId="1624212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аналоги требуют рецепта и назначения врача.</w:t>
      </w:r>
    </w:p>
    <w:p w14:paraId="3B730FE8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Условия отпуска и хранения</w:t>
      </w:r>
    </w:p>
    <w:p w14:paraId="4835FBFE" w14:textId="77777777" w:rsidR="00AD5858" w:rsidRPr="00E02FCC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Аркоксиа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отпускается строго по рецепту.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Хранить при температуре не выше 25 °C в оригинальной упаковке.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Беречь от детей. Срок годности — 3 года с даты выпуска.</w:t>
      </w:r>
    </w:p>
    <w:p w14:paraId="5A111F68" w14:textId="77777777" w:rsidR="00280A5F" w:rsidRDefault="00280A5F"/>
    <w:sectPr w:rsidR="00280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2828"/>
    <w:multiLevelType w:val="multilevel"/>
    <w:tmpl w:val="934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111B"/>
    <w:multiLevelType w:val="multilevel"/>
    <w:tmpl w:val="CA4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76753"/>
    <w:multiLevelType w:val="multilevel"/>
    <w:tmpl w:val="301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505D"/>
    <w:multiLevelType w:val="multilevel"/>
    <w:tmpl w:val="B1E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37BE"/>
    <w:multiLevelType w:val="multilevel"/>
    <w:tmpl w:val="864E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07FEE"/>
    <w:multiLevelType w:val="multilevel"/>
    <w:tmpl w:val="3EA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65D4D"/>
    <w:multiLevelType w:val="multilevel"/>
    <w:tmpl w:val="31C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57B82"/>
    <w:multiLevelType w:val="multilevel"/>
    <w:tmpl w:val="1C1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B3517"/>
    <w:multiLevelType w:val="multilevel"/>
    <w:tmpl w:val="BFA2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95451"/>
    <w:multiLevelType w:val="multilevel"/>
    <w:tmpl w:val="FF2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A7058"/>
    <w:multiLevelType w:val="multilevel"/>
    <w:tmpl w:val="6FD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F117B"/>
    <w:multiLevelType w:val="multilevel"/>
    <w:tmpl w:val="8CD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6904">
    <w:abstractNumId w:val="5"/>
  </w:num>
  <w:num w:numId="2" w16cid:durableId="1324969919">
    <w:abstractNumId w:val="7"/>
  </w:num>
  <w:num w:numId="3" w16cid:durableId="1813717793">
    <w:abstractNumId w:val="3"/>
  </w:num>
  <w:num w:numId="4" w16cid:durableId="936597670">
    <w:abstractNumId w:val="6"/>
  </w:num>
  <w:num w:numId="5" w16cid:durableId="589703766">
    <w:abstractNumId w:val="9"/>
  </w:num>
  <w:num w:numId="6" w16cid:durableId="2089232469">
    <w:abstractNumId w:val="10"/>
  </w:num>
  <w:num w:numId="7" w16cid:durableId="1807353521">
    <w:abstractNumId w:val="8"/>
  </w:num>
  <w:num w:numId="8" w16cid:durableId="1332413152">
    <w:abstractNumId w:val="0"/>
  </w:num>
  <w:num w:numId="9" w16cid:durableId="1781139843">
    <w:abstractNumId w:val="2"/>
  </w:num>
  <w:num w:numId="10" w16cid:durableId="1919820831">
    <w:abstractNumId w:val="4"/>
  </w:num>
  <w:num w:numId="11" w16cid:durableId="1399749029">
    <w:abstractNumId w:val="1"/>
  </w:num>
  <w:num w:numId="12" w16cid:durableId="12815666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858"/>
    <w:rsid w:val="002146FB"/>
    <w:rsid w:val="00280A5F"/>
    <w:rsid w:val="002B70A5"/>
    <w:rsid w:val="00374A63"/>
    <w:rsid w:val="00392015"/>
    <w:rsid w:val="006F0CBE"/>
    <w:rsid w:val="00920D95"/>
    <w:rsid w:val="009D11D9"/>
    <w:rsid w:val="00A078E2"/>
    <w:rsid w:val="00A56D8E"/>
    <w:rsid w:val="00AD5858"/>
    <w:rsid w:val="00C33C8F"/>
    <w:rsid w:val="00D4417B"/>
    <w:rsid w:val="00D55E2D"/>
    <w:rsid w:val="00E02FCC"/>
    <w:rsid w:val="00EA77F4"/>
    <w:rsid w:val="00F6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2B1B"/>
  <w15:chartTrackingRefBased/>
  <w15:docId w15:val="{E3FF1497-878B-4428-9796-6C36F5DE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D5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D58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D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5858"/>
    <w:rPr>
      <w:b/>
      <w:bCs/>
    </w:rPr>
  </w:style>
  <w:style w:type="character" w:styleId="a5">
    <w:name w:val="Hyperlink"/>
    <w:basedOn w:val="a0"/>
    <w:uiPriority w:val="99"/>
    <w:unhideWhenUsed/>
    <w:rsid w:val="00D4417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4417B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374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374A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374A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374A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374A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n1.ru/selection/kostaro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"Аптека-Риэлти"</Company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Меленец</dc:creator>
  <cp:keywords/>
  <dc:description/>
  <cp:lastModifiedBy>Дмитрий Деордице</cp:lastModifiedBy>
  <cp:revision>10</cp:revision>
  <dcterms:created xsi:type="dcterms:W3CDTF">2025-11-21T09:28:00Z</dcterms:created>
  <dcterms:modified xsi:type="dcterms:W3CDTF">2025-11-21T11:10:00Z</dcterms:modified>
</cp:coreProperties>
</file>