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DA5E7" w14:textId="77777777" w:rsidR="008F486B" w:rsidRPr="004A764F" w:rsidRDefault="008F486B" w:rsidP="008F486B">
      <w:pPr>
        <w:numPr>
          <w:ilvl w:val="0"/>
          <w:numId w:val="1"/>
        </w:numPr>
        <w:pBdr>
          <w:top w:val="single" w:sz="6" w:space="0" w:color="DEDEDE"/>
          <w:bottom w:val="single" w:sz="6" w:space="0" w:color="DEDEDE"/>
        </w:pBdr>
        <w:shd w:val="clear" w:color="auto" w:fill="FFFFFF"/>
        <w:spacing w:after="0" w:line="360" w:lineRule="atLeast"/>
        <w:ind w:left="0"/>
        <w:outlineLvl w:val="2"/>
        <w:rPr>
          <w:rFonts w:ascii="Arial" w:eastAsia="Times New Roman" w:hAnsi="Arial" w:cs="Arial"/>
          <w:b/>
          <w:color w:val="1E1E1E"/>
          <w:sz w:val="30"/>
          <w:szCs w:val="30"/>
          <w:highlight w:val="cyan"/>
          <w:lang w:eastAsia="ru-RU"/>
        </w:rPr>
      </w:pPr>
      <w:r w:rsidRPr="004A764F">
        <w:rPr>
          <w:rFonts w:ascii="Arial" w:eastAsia="Times New Roman" w:hAnsi="Arial" w:cs="Arial"/>
          <w:b/>
          <w:color w:val="1E1E1E"/>
          <w:sz w:val="30"/>
          <w:szCs w:val="30"/>
          <w:highlight w:val="cyan"/>
          <w:lang w:eastAsia="ru-RU"/>
        </w:rPr>
        <w:t>Инструкция по применению Гиалрипайер-02 Хондрорепарант 0,8 % 5 мл протез синовиальной жидкости</w:t>
      </w:r>
    </w:p>
    <w:p w14:paraId="1D32689C" w14:textId="77777777" w:rsidR="008F486B" w:rsidRDefault="008F486B" w:rsidP="008F486B">
      <w:pPr>
        <w:pStyle w:val="3"/>
        <w:numPr>
          <w:ilvl w:val="0"/>
          <w:numId w:val="2"/>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31E3EC69" w14:textId="77777777" w:rsidR="008F486B" w:rsidRDefault="008F486B" w:rsidP="008F486B">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Оказывает репаративное действие на соединительную, а также мышечные ткани и укрепляет их структуру. Восстанавливает функции околосуставных и внесуставных тканей.</w:t>
      </w:r>
      <w:r>
        <w:rPr>
          <w:rFonts w:ascii="Arial" w:hAnsi="Arial" w:cs="Arial"/>
          <w:color w:val="1E1E1E"/>
        </w:rPr>
        <w:br/>
      </w:r>
      <w:r>
        <w:rPr>
          <w:rFonts w:ascii="Arial" w:hAnsi="Arial" w:cs="Arial"/>
          <w:color w:val="1E1E1E"/>
        </w:rPr>
        <w:br/>
        <w:t>Благодаря уникальной Технологии твердофазной стабилизации гиалуроновой кислоты SSRB, ХОНДРОРЕПАРАНТ® является единственным препаратом, обладающим репаративными свойствами, которые позволяют восстановить функции опорно-двигательной системы.</w:t>
      </w:r>
      <w:r>
        <w:rPr>
          <w:rFonts w:ascii="Arial" w:hAnsi="Arial" w:cs="Arial"/>
          <w:color w:val="1E1E1E"/>
        </w:rPr>
        <w:br/>
        <w:t>Входящие в его состав активные компоненты (гиалуроновая кислота, стабилизированная аскорбилфосфатом, и протеиногенные аминокислоты: пролин, лизин, глицин) удерживаются в тканях в течение длительного времени, что обеспечивает пролонгированную стимуляцию клеточной активности и укрепление структуры соединительной и мышечной ткани.</w:t>
      </w:r>
    </w:p>
    <w:p w14:paraId="0FF1336B" w14:textId="77777777" w:rsidR="008F486B" w:rsidRDefault="008F486B" w:rsidP="008F486B">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334E36FC"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Важно! Строго НЕ для внутрисуставного введения.</w:t>
      </w:r>
      <w:r>
        <w:rPr>
          <w:rFonts w:ascii="Arial" w:hAnsi="Arial" w:cs="Arial"/>
          <w:color w:val="1E1E1E"/>
        </w:rPr>
        <w:br/>
        <w:t>Примечание:</w:t>
      </w:r>
    </w:p>
    <w:p w14:paraId="5AA03457"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 Препарат вводится периартикулярно, внутримышечно, периневрально, в проекцию зоны повреждения связочного аппарата</w:t>
      </w:r>
    </w:p>
    <w:p w14:paraId="4F04E2CB"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 Локализация и глубина введения, выбор препаратов в рамках одного курса определяются врачом индивидуально</w:t>
      </w:r>
    </w:p>
    <w:p w14:paraId="097D62E3"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 за 1 визит возможна инъекционная терапия нескольких зон (сегментов)</w:t>
      </w:r>
    </w:p>
    <w:p w14:paraId="2A47497A"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ВАЖНО!</w:t>
      </w:r>
    </w:p>
    <w:p w14:paraId="0BDA8AD7"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1. Манипуляция проводится в условиях оборудованного кабинета с соблюдением правил асептики и антисептики сертифицированным врачом, имеющим право проводить околосуставные и внесуставные блокады..</w:t>
      </w:r>
    </w:p>
    <w:p w14:paraId="5A0D1273"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2. При проведении локальной пункции необходимо пользоваться разработанными протоколами доступа во избежание осложнений.</w:t>
      </w:r>
    </w:p>
    <w:p w14:paraId="4289B665"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3. При необходимости проведения обезболивания анестетик вводится в ткани до капсулы сумки / синовиального влагалища, под оболочку вводится препарат без анестетика. Препараты ГК не подлежат смешиванию с другими медицинскими изделиями и любыми лекарственными растворами в одном шприце или в одной зоне введения.</w:t>
      </w:r>
    </w:p>
    <w:p w14:paraId="38271AC2"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4. При наличии локальной инфильтрации тканей воспалительного характера или вследствие отёка введение препарата не показано – необходима противовоспалительная или/и дренажная терапия.</w:t>
      </w:r>
    </w:p>
    <w:p w14:paraId="4F3A44B1" w14:textId="77777777" w:rsidR="008F486B" w:rsidRDefault="008F486B" w:rsidP="008F486B">
      <w:pPr>
        <w:pStyle w:val="ac"/>
        <w:pBdr>
          <w:bottom w:val="single" w:sz="6" w:space="0" w:color="DEDEDE"/>
        </w:pBdr>
        <w:shd w:val="clear" w:color="auto" w:fill="FFFFFF"/>
        <w:spacing w:before="0" w:beforeAutospacing="0" w:after="0" w:afterAutospacing="0" w:line="285" w:lineRule="atLeast"/>
        <w:rPr>
          <w:rFonts w:ascii="Arial" w:hAnsi="Arial" w:cs="Arial"/>
          <w:color w:val="1E1E1E"/>
        </w:rPr>
      </w:pPr>
      <w:r>
        <w:rPr>
          <w:rFonts w:ascii="Arial" w:hAnsi="Arial" w:cs="Arial"/>
          <w:color w:val="1E1E1E"/>
        </w:rPr>
        <w:t>5. При инъекции в миофасциальный триггер симптом «прыжка» положительный. Анестезия триггера нецелесообразна, не показана</w:t>
      </w:r>
    </w:p>
    <w:p w14:paraId="096A0755" w14:textId="77777777" w:rsidR="008F486B" w:rsidRDefault="008F486B" w:rsidP="008F486B">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lastRenderedPageBreak/>
        <w:t>Показания к применению</w:t>
      </w:r>
    </w:p>
    <w:p w14:paraId="43A7F0DD"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дорсопатии</w:t>
      </w:r>
    </w:p>
    <w:p w14:paraId="1CD035D7"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дегенеративно-дистрофические заболевания связочного аппарата и соединительно-тканных структур вне обострения</w:t>
      </w:r>
    </w:p>
    <w:p w14:paraId="7AAE2DA0"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реабилитация после перенесенных травм и оперативных вмешательств</w:t>
      </w:r>
    </w:p>
    <w:p w14:paraId="07195FFE"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мышечно-тонические состояния пояса конечности и самой конечности, сопутствующие спондилоартрозу / остеоартрозу</w:t>
      </w:r>
    </w:p>
    <w:p w14:paraId="73845954" w14:textId="77777777" w:rsidR="008F486B" w:rsidRDefault="008F486B" w:rsidP="008F486B">
      <w:pPr>
        <w:pStyle w:val="product-details-instructions-mainitem"/>
        <w:numPr>
          <w:ilvl w:val="1"/>
          <w:numId w:val="2"/>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профилактика дистрофического поражения структур опорно-двигательной системы и болевых синдромов у лиц молодого и среднего возраста в группах риска</w:t>
      </w:r>
    </w:p>
    <w:p w14:paraId="3763E55A" w14:textId="77777777" w:rsidR="008F486B" w:rsidRDefault="008F486B" w:rsidP="008F486B">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Фармакодинамика</w:t>
      </w:r>
    </w:p>
    <w:p w14:paraId="0E626EA9"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Процессы репарации в соединительной и мышечной тканях запускаются за счет пролонгированного направленного действия препарата путем стимулирования образования каркасных белков матрикса.</w:t>
      </w:r>
    </w:p>
    <w:p w14:paraId="713C0F60"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Пролонгированное направленное действие препарата обеспечивается запатентованной Технологией SSRB, на основе которой создан препарат.</w:t>
      </w:r>
    </w:p>
    <w:p w14:paraId="2826C8BE"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Технология SSRB - твердофазная стабилизация гиалуроновой кислоты путем сшивания гиалуроновой кислоты "мостиками" из аскорбилфосфата и присоединения к ней активных компонентов в определенной последовательности и концентрации под воздействием сверхвысокого давления и сдвиговых деформаций без применения каких-либо химических реагентов.</w:t>
      </w:r>
    </w:p>
    <w:p w14:paraId="72EFE608"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Технология SSRB позволяет изменить пространственную структуру гиалуроновой кислоты. Благодаря технологии структура гиалуроновой кислоты становится неузнаваема для гиалуронидаз, замедляется ферментное разрушение гиалуроновой кислоты, удлиняется период биодеградации депо-комплекса, состоящего из гиалуроновой кислоты и присоединенных к ней активных компонентов аскорбилфосфата, пролина, лизина, глицина.</w:t>
      </w:r>
    </w:p>
    <w:p w14:paraId="7858A5E8" w14:textId="77777777" w:rsidR="008F486B" w:rsidRDefault="008F486B" w:rsidP="008F486B">
      <w:pPr>
        <w:pStyle w:val="ac"/>
        <w:pBdr>
          <w:bottom w:val="single" w:sz="6" w:space="0" w:color="DEDEDE"/>
        </w:pBdr>
        <w:shd w:val="clear" w:color="auto" w:fill="FFFFFF"/>
        <w:spacing w:before="0" w:beforeAutospacing="0" w:after="0" w:afterAutospacing="0" w:line="285" w:lineRule="atLeast"/>
        <w:rPr>
          <w:rFonts w:ascii="Arial" w:hAnsi="Arial" w:cs="Arial"/>
          <w:color w:val="1E1E1E"/>
        </w:rPr>
      </w:pPr>
      <w:r>
        <w:rPr>
          <w:rFonts w:ascii="Arial" w:hAnsi="Arial" w:cs="Arial"/>
          <w:color w:val="1E1E1E"/>
        </w:rPr>
        <w:t>Таким образом, Технология твердофазной стабилизации гиалуроновой кислоты SSRB позволяет обеспечить пролонгированное направленное действие активных компонентов за счёт их длительного удержания в тканях.</w:t>
      </w:r>
    </w:p>
    <w:p w14:paraId="7BE1AFC9" w14:textId="77777777" w:rsidR="008F486B" w:rsidRDefault="008F486B" w:rsidP="008F486B">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1C21B1A0"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Уникальная формула, представляющая собой депо-комплекс, состоящий из стабилизированной гиалуроновой кислоты высокой степени очистки фармакопейного класса, получаемой путем бактериальной ферментации, и присоединенных к ней активных компонентов.</w:t>
      </w:r>
    </w:p>
    <w:p w14:paraId="53A8077D"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Содержит гиалуронат натрия, стабилизированный аскорбилфосфатом, и протеиногенные аминокислоты (пролин, лизин, глицин).</w:t>
      </w:r>
    </w:p>
    <w:p w14:paraId="7034215F"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молекулярная масса 3,0 МДа</w:t>
      </w:r>
    </w:p>
    <w:p w14:paraId="1AF126FC"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содержание ГК 0,8%</w:t>
      </w:r>
    </w:p>
    <w:p w14:paraId="3071538F" w14:textId="77777777" w:rsidR="008F486B" w:rsidRDefault="008F486B" w:rsidP="008F486B">
      <w:pPr>
        <w:pStyle w:val="product-details-instructions-mainitem"/>
        <w:numPr>
          <w:ilvl w:val="1"/>
          <w:numId w:val="2"/>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объём препарата 5,0 мл</w:t>
      </w:r>
    </w:p>
    <w:p w14:paraId="069F6FC4" w14:textId="77777777" w:rsidR="008F486B" w:rsidRDefault="008F486B" w:rsidP="008F486B">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Действие</w:t>
      </w:r>
    </w:p>
    <w:p w14:paraId="2D8F6B60"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Восстановление, защита и реабилитация</w:t>
      </w:r>
      <w:r>
        <w:rPr>
          <w:rFonts w:ascii="Arial" w:hAnsi="Arial" w:cs="Arial"/>
          <w:color w:val="1E1E1E"/>
        </w:rPr>
        <w:br/>
      </w:r>
    </w:p>
    <w:p w14:paraId="72170C0D"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lastRenderedPageBreak/>
        <w:t>Оказывает преимущественно репаративное действие на соединительную и мышечные ткани и укрепляет их структуру</w:t>
      </w:r>
    </w:p>
    <w:p w14:paraId="7936482E"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Восстанавливает функции и околосуставных и внесуставных тканей</w:t>
      </w:r>
    </w:p>
    <w:p w14:paraId="327BF77C"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Оказывает биологическую стимуляцию процессов естественного метаболизма в отношении мышечно-сухожильных элементов, посредством чего улучшается физиологический и реологический статус системы трофических связей и систем регуляции роста и цитодифференцировки</w:t>
      </w:r>
    </w:p>
    <w:p w14:paraId="58D223BE"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Замедляет процесс дистрофичеcкой кальцификации глубоких отделов связки в месте прикрепления к кости</w:t>
      </w:r>
    </w:p>
    <w:p w14:paraId="10B205BF" w14:textId="77777777" w:rsidR="008F486B" w:rsidRDefault="008F486B" w:rsidP="008F486B">
      <w:pPr>
        <w:pStyle w:val="product-details-instructions-mainitem"/>
        <w:numPr>
          <w:ilvl w:val="1"/>
          <w:numId w:val="2"/>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Сокращает срок реабилитации после травм и операций</w:t>
      </w:r>
    </w:p>
    <w:p w14:paraId="18931C13"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Улучшение качества жизни пациента</w:t>
      </w:r>
    </w:p>
    <w:p w14:paraId="5EA8B468"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Эффективно купирует воспаление и боль</w:t>
      </w:r>
    </w:p>
    <w:p w14:paraId="091DD9C5"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Обеспечивает восстановление функций опорно-двигательной системы: возвращает комфорт и естественность движений</w:t>
      </w:r>
    </w:p>
    <w:p w14:paraId="593801D4" w14:textId="77777777" w:rsidR="008F486B" w:rsidRDefault="008F486B" w:rsidP="008F486B">
      <w:pPr>
        <w:pStyle w:val="product-details-instructions-mainitem"/>
        <w:numPr>
          <w:ilvl w:val="1"/>
          <w:numId w:val="2"/>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Уменьшает потребность в приеме стероидных гормонов и НПВП</w:t>
      </w:r>
    </w:p>
    <w:p w14:paraId="54AB02BF" w14:textId="77777777" w:rsidR="008F486B" w:rsidRDefault="008F486B" w:rsidP="008F486B">
      <w:pPr>
        <w:pStyle w:val="product-details-instructions-mainitem"/>
        <w:numPr>
          <w:ilvl w:val="1"/>
          <w:numId w:val="2"/>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Высокая безопасность и переносимость, отсутствие нежелательных явлений</w:t>
      </w:r>
    </w:p>
    <w:p w14:paraId="3F954655" w14:textId="77777777" w:rsidR="008F486B" w:rsidRPr="004A764F" w:rsidRDefault="008F486B" w:rsidP="008F486B">
      <w:pPr>
        <w:numPr>
          <w:ilvl w:val="0"/>
          <w:numId w:val="1"/>
        </w:numPr>
        <w:pBdr>
          <w:top w:val="single" w:sz="6" w:space="0" w:color="DEDEDE"/>
          <w:bottom w:val="single" w:sz="6" w:space="0" w:color="DEDEDE"/>
        </w:pBdr>
        <w:shd w:val="clear" w:color="auto" w:fill="FFFFFF"/>
        <w:spacing w:after="0" w:line="360" w:lineRule="atLeast"/>
        <w:ind w:left="0"/>
        <w:outlineLvl w:val="2"/>
        <w:rPr>
          <w:rFonts w:ascii="Arial" w:eastAsia="Times New Roman" w:hAnsi="Arial" w:cs="Arial"/>
          <w:b/>
          <w:color w:val="1E1E1E"/>
          <w:sz w:val="30"/>
          <w:szCs w:val="30"/>
          <w:highlight w:val="cyan"/>
          <w:lang w:eastAsia="ru-RU"/>
        </w:rPr>
      </w:pPr>
      <w:r w:rsidRPr="004A764F">
        <w:rPr>
          <w:rFonts w:ascii="Arial" w:eastAsia="Times New Roman" w:hAnsi="Arial" w:cs="Arial"/>
          <w:b/>
          <w:color w:val="1E1E1E"/>
          <w:sz w:val="30"/>
          <w:szCs w:val="30"/>
          <w:highlight w:val="cyan"/>
          <w:lang w:eastAsia="ru-RU"/>
        </w:rPr>
        <w:t>Инструкция по применению Гилан Ультра Комфорт 0,3 % 0,4 мл 30 шт капли глазные</w:t>
      </w:r>
    </w:p>
    <w:p w14:paraId="5CB808C3" w14:textId="77777777" w:rsidR="008F486B" w:rsidRDefault="008F486B" w:rsidP="008F486B">
      <w:pPr>
        <w:pStyle w:val="3"/>
        <w:numPr>
          <w:ilvl w:val="0"/>
          <w:numId w:val="3"/>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1B351189" w14:textId="77777777" w:rsidR="008F486B" w:rsidRDefault="008F486B" w:rsidP="008F486B">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Раствор увлажняющий офтальмологический.</w:t>
      </w:r>
    </w:p>
    <w:p w14:paraId="5DEE6F70"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1F35FE25"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707070"/>
        </w:rPr>
      </w:pPr>
      <w:r>
        <w:rPr>
          <w:rFonts w:ascii="Arial" w:hAnsi="Arial" w:cs="Arial"/>
          <w:color w:val="707070"/>
        </w:rPr>
        <w:t>Офтальмологический увлажняющий раствор Гилан Ультра комфорт закапывают по 1 -2 капли в конъюнктивальный мешок, по мере необ</w:t>
      </w:r>
      <w:r>
        <w:rPr>
          <w:rFonts w:ascii="Arial" w:hAnsi="Arial" w:cs="Arial"/>
          <w:color w:val="707070"/>
        </w:rPr>
        <w:softHyphen/>
        <w:t>ходимости до 6 раз в сутки.</w:t>
      </w:r>
    </w:p>
    <w:p w14:paraId="75639ED7"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707070"/>
        </w:rPr>
      </w:pPr>
      <w:r>
        <w:rPr>
          <w:rFonts w:ascii="Arial" w:hAnsi="Arial" w:cs="Arial"/>
          <w:color w:val="707070"/>
          <w:u w:val="single"/>
        </w:rPr>
        <w:t>Методика закапывания раствора</w:t>
      </w:r>
    </w:p>
    <w:p w14:paraId="09D1904D"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707070"/>
        </w:rPr>
      </w:pPr>
      <w:r>
        <w:rPr>
          <w:rFonts w:ascii="Arial" w:hAnsi="Arial" w:cs="Arial"/>
          <w:color w:val="707070"/>
          <w:u w:val="single"/>
        </w:rPr>
        <w:t>Порядок работы с тюбик-капельницей (юнидозой):</w:t>
      </w:r>
    </w:p>
    <w:p w14:paraId="4799868E"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1. Отделить одну тюбик-капельницу.</w:t>
      </w:r>
    </w:p>
    <w:p w14:paraId="67CBD258"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707070"/>
        </w:rPr>
      </w:pPr>
      <w:r>
        <w:rPr>
          <w:rFonts w:ascii="Arial" w:hAnsi="Arial" w:cs="Arial"/>
          <w:color w:val="707070"/>
        </w:rPr>
        <w:t>2. Вскрыть тюбик-капельницу (убедившись, что раствор нахо</w:t>
      </w:r>
      <w:r>
        <w:rPr>
          <w:rFonts w:ascii="Arial" w:hAnsi="Arial" w:cs="Arial"/>
          <w:color w:val="707070"/>
        </w:rPr>
        <w:softHyphen/>
        <w:t>дится в нижней части тюбик-капельницы, вращающими движе</w:t>
      </w:r>
      <w:r>
        <w:rPr>
          <w:rFonts w:ascii="Arial" w:hAnsi="Arial" w:cs="Arial"/>
          <w:color w:val="707070"/>
        </w:rPr>
        <w:softHyphen/>
        <w:t>ниями повернуть и отделить клапан).</w:t>
      </w:r>
    </w:p>
    <w:p w14:paraId="1151753B"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707070"/>
        </w:rPr>
      </w:pPr>
      <w:r>
        <w:rPr>
          <w:rFonts w:ascii="Arial" w:hAnsi="Arial" w:cs="Arial"/>
          <w:color w:val="707070"/>
        </w:rPr>
        <w:t>3. Закапать необходимое количество раствора в глаза.</w:t>
      </w:r>
    </w:p>
    <w:p w14:paraId="7D0B0430" w14:textId="77777777" w:rsidR="008F486B" w:rsidRDefault="008F486B" w:rsidP="008F486B">
      <w:pPr>
        <w:pStyle w:val="ac"/>
        <w:pBdr>
          <w:bottom w:val="single" w:sz="6" w:space="0" w:color="DEDEDE"/>
        </w:pBdr>
        <w:shd w:val="clear" w:color="auto" w:fill="FFFFFF"/>
        <w:spacing w:before="0" w:beforeAutospacing="0" w:after="150" w:afterAutospacing="0" w:line="285" w:lineRule="atLeast"/>
        <w:rPr>
          <w:rFonts w:ascii="Arial" w:hAnsi="Arial" w:cs="Arial"/>
          <w:color w:val="707070"/>
        </w:rPr>
      </w:pPr>
      <w:r>
        <w:rPr>
          <w:rFonts w:ascii="Arial" w:hAnsi="Arial" w:cs="Arial"/>
          <w:color w:val="707070"/>
        </w:rPr>
        <w:t>Доза, содержащаяся в тюбик-капельнице, достаточна для одно</w:t>
      </w:r>
      <w:r>
        <w:rPr>
          <w:rFonts w:ascii="Arial" w:hAnsi="Arial" w:cs="Arial"/>
          <w:color w:val="707070"/>
        </w:rPr>
        <w:softHyphen/>
        <w:t>го закапывания в оба глаза.</w:t>
      </w:r>
    </w:p>
    <w:p w14:paraId="2AACA8A3" w14:textId="77777777" w:rsidR="008F486B" w:rsidRDefault="008F486B" w:rsidP="008F486B">
      <w:pPr>
        <w:pStyle w:val="ac"/>
        <w:pBdr>
          <w:bottom w:val="single" w:sz="6" w:space="0" w:color="DEDEDE"/>
        </w:pBdr>
        <w:shd w:val="clear" w:color="auto" w:fill="FFFFFF"/>
        <w:spacing w:before="0" w:beforeAutospacing="0" w:after="0" w:afterAutospacing="0" w:line="285" w:lineRule="atLeast"/>
        <w:rPr>
          <w:rFonts w:ascii="Arial" w:hAnsi="Arial" w:cs="Arial"/>
          <w:color w:val="707070"/>
        </w:rPr>
      </w:pPr>
      <w:r>
        <w:rPr>
          <w:rFonts w:ascii="Arial" w:hAnsi="Arial" w:cs="Arial"/>
          <w:color w:val="707070"/>
        </w:rPr>
        <w:t>После однократного использования тюбик-капельницу следует выбросить, даже если осталось содержимое. После вскрытия пакета использовать тюбик-капельницы (юнидозы) в течение 1 года.</w:t>
      </w:r>
    </w:p>
    <w:p w14:paraId="3CCE5127"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lastRenderedPageBreak/>
        <w:t>Противопоказания</w:t>
      </w:r>
    </w:p>
    <w:p w14:paraId="520C1A23"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Повышенная чувствительность к любому из компонентов, вхо</w:t>
      </w:r>
      <w:r>
        <w:rPr>
          <w:rFonts w:ascii="Arial" w:hAnsi="Arial" w:cs="Arial"/>
          <w:color w:val="1E1E1E"/>
        </w:rPr>
        <w:softHyphen/>
        <w:t>дящих в состав офтальмологического раствора Гилан Ультра комфорт.</w:t>
      </w:r>
    </w:p>
    <w:p w14:paraId="355389CE"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Побочные действия</w:t>
      </w:r>
    </w:p>
    <w:p w14:paraId="60DA7C8D"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Редко аллергические реакции. Иногда появляется чувство склеивания век из-за вязкости раствора.</w:t>
      </w:r>
    </w:p>
    <w:p w14:paraId="38E90976"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Показания к применению</w:t>
      </w:r>
    </w:p>
    <w:p w14:paraId="5F1CBE58" w14:textId="77777777" w:rsidR="008F486B" w:rsidRDefault="008F486B" w:rsidP="008F486B">
      <w:pPr>
        <w:pStyle w:val="product-details-instructions-mainitem"/>
        <w:numPr>
          <w:ilvl w:val="1"/>
          <w:numId w:val="3"/>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для увлажнения передней поверхности глаза (роговицы и конъюнктивы) при синдроме "сухого глаза" средней степени тяжести, а также при тяжелом ксерозе;</w:t>
      </w:r>
    </w:p>
    <w:p w14:paraId="6CBF24EF" w14:textId="77777777" w:rsidR="008F486B" w:rsidRDefault="008F486B" w:rsidP="008F486B">
      <w:pPr>
        <w:pStyle w:val="product-details-instructions-mainitem"/>
        <w:numPr>
          <w:ilvl w:val="1"/>
          <w:numId w:val="3"/>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для устранения ощущения сухости глаз, "песка" в глазах, при жжении, слезотечении, покраснении, зуде, утомлении, "офисном" синдроме, а также при ощущении инородного тела в глазу, чувства усталости, после различных перенесенных заболеваний глаз, особенно после конъюнктивитов и кератитов различной этиологии;</w:t>
      </w:r>
    </w:p>
    <w:p w14:paraId="7BF8E566" w14:textId="77777777" w:rsidR="008F486B" w:rsidRDefault="008F486B" w:rsidP="008F486B">
      <w:pPr>
        <w:pStyle w:val="product-details-instructions-mainitem"/>
        <w:numPr>
          <w:ilvl w:val="1"/>
          <w:numId w:val="3"/>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в комплексном лечении хронического блефарита, вызывающего синдром "сухого глаза";</w:t>
      </w:r>
    </w:p>
    <w:p w14:paraId="16856E92" w14:textId="77777777" w:rsidR="008F486B" w:rsidRDefault="008F486B" w:rsidP="008F486B">
      <w:pPr>
        <w:pStyle w:val="product-details-instructions-mainitem"/>
        <w:numPr>
          <w:ilvl w:val="1"/>
          <w:numId w:val="3"/>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для устранения сухости глаз в случаях систематического и длительного применения лекарственных препаратов (гормональные средства, противовоспалительные средства, антибиотики и т.д.);</w:t>
      </w:r>
    </w:p>
    <w:p w14:paraId="17EF9BE7" w14:textId="77777777" w:rsidR="008F486B" w:rsidRDefault="008F486B" w:rsidP="008F486B">
      <w:pPr>
        <w:pStyle w:val="product-details-instructions-mainitem"/>
        <w:numPr>
          <w:ilvl w:val="1"/>
          <w:numId w:val="3"/>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для комплексного лечения сухости глаз в случаях постоянного использования косметических средств, а также после пластических операций на лице;</w:t>
      </w:r>
    </w:p>
    <w:p w14:paraId="5E3C9D9F" w14:textId="77777777" w:rsidR="008F486B" w:rsidRDefault="008F486B" w:rsidP="008F486B">
      <w:pPr>
        <w:pStyle w:val="product-details-instructions-mainitem"/>
        <w:numPr>
          <w:ilvl w:val="1"/>
          <w:numId w:val="3"/>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для увлажнения передней поверхности глаза после офтальмологических хирургических операций, в т.ч. после рефракционных вмешательств (ЛАЗИК, ФРК и т.д.), а также при незначительных повреждениях роговицы в составе комплексной терапии;</w:t>
      </w:r>
    </w:p>
    <w:p w14:paraId="5677B926" w14:textId="77777777" w:rsidR="008F486B" w:rsidRDefault="008F486B" w:rsidP="008F486B">
      <w:pPr>
        <w:pStyle w:val="product-details-instructions-mainitem"/>
        <w:numPr>
          <w:ilvl w:val="1"/>
          <w:numId w:val="3"/>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для устранения дискомфорта при ношении жестких и мягких контактных линз, а также для профилактики синдрома "сухого глаза" при контактной коррекции зрения;</w:t>
      </w:r>
    </w:p>
    <w:p w14:paraId="4A06BF38" w14:textId="77777777" w:rsidR="008F486B" w:rsidRDefault="008F486B" w:rsidP="008F486B">
      <w:pPr>
        <w:pStyle w:val="product-details-instructions-mainitem"/>
        <w:numPr>
          <w:ilvl w:val="1"/>
          <w:numId w:val="3"/>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для профилактики и комплексного лечения роговично-конъюнктивального ксероза при ухудшении экологической обстановки и загрязнении окружающей среды (смог, дым, пыль и т.д.), и длительных зрительных нагрузках;</w:t>
      </w:r>
    </w:p>
    <w:p w14:paraId="7FE2AE11" w14:textId="77777777" w:rsidR="008F486B" w:rsidRDefault="008F486B" w:rsidP="008F486B">
      <w:pPr>
        <w:pStyle w:val="product-details-instructions-mainitem"/>
        <w:numPr>
          <w:ilvl w:val="1"/>
          <w:numId w:val="3"/>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при синдроме Шегрена.</w:t>
      </w:r>
    </w:p>
    <w:p w14:paraId="363CC381"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Срок годности</w:t>
      </w:r>
    </w:p>
    <w:p w14:paraId="5424F31F"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3 года. Не использовать после истечения срока годности.</w:t>
      </w:r>
    </w:p>
    <w:p w14:paraId="288FBC23"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Взаимодействие</w:t>
      </w:r>
    </w:p>
    <w:p w14:paraId="2D315652"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В случае совместного применения с офтальмологическими препаратами рекомендуется соблюдать паузу не менее 30 минут между закапыванием раствора Гилан Ультра комфорт и применением глазных капель. Глазные мази всегда должны применяться после закапывания раствора Гилан Ультра комфорт.</w:t>
      </w:r>
    </w:p>
    <w:p w14:paraId="58C945D4"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lastRenderedPageBreak/>
        <w:t>Условия хранения</w:t>
      </w:r>
    </w:p>
    <w:p w14:paraId="3C88BF24"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Хранить в защищенном от света месте при температуре от +5°С до +25°С. Хранить в недоступном для детей месте.</w:t>
      </w:r>
    </w:p>
    <w:p w14:paraId="65199BD9"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Особые указания</w:t>
      </w:r>
    </w:p>
    <w:p w14:paraId="227CB085"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Осмотрите упаковку и Раствор перед применением. Не используйте Раствор, если упаковка или тюбик поврежден. </w:t>
      </w:r>
    </w:p>
    <w:p w14:paraId="248CAC3E"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Влияние на способность к вождению автотранспорта и управлению механизмами</w:t>
      </w:r>
    </w:p>
    <w:p w14:paraId="43B89CC4"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Всеми видами крытого транспорта в соответствии с правилами перевозки грузов, действующими на каждом виде транспорта при температуре не ниже +5°С.</w:t>
      </w:r>
    </w:p>
    <w:p w14:paraId="1C62E7AB"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195E4425"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Одна тюбик-капельница раствора Гилан Ультра комфорт содержит: натрия гиалуронат 0,3 % (2,7 – 3,3 мг/мл), сорбитол (18,00 – 22,00 мг/мл), динатрия гидрофосфат дигидрат (7,48 – 9,14 мг/мл), натрия дигидрофосфат дигидрат (2,83 – 3,45 мг/мл), вода для инъекций (до 0,4 мл).</w:t>
      </w:r>
    </w:p>
    <w:p w14:paraId="5068FBAF" w14:textId="77777777" w:rsidR="008F486B" w:rsidRDefault="008F486B" w:rsidP="008F486B">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Действие</w:t>
      </w:r>
    </w:p>
    <w:p w14:paraId="668C43E9"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 xml:space="preserve">Медицинское изделие Гилан Ультра комфорт представляет собой стерильный 0,3 % водный раствор натрия гиалуроната, не содержащий консервантов. Действующее вещество – высокоочищенный натрия гиалуронат, произведенный методом бактериальной ферментации. Натрия гиалуронат является физиологическим полисахаридным соединением, содержащимся как в тканях глаза, так и других тканях и жидкостях организма человека. Особым физико-химическим свойством молекул натрия гиалуроната является их выраженная способность связывать молекулы воды. Водный раствор натрия гиалуроната 2 (ГИЛАН) обладает необходимой вязкостью и высокими адгезивными свойствами. При применении офтальмологического раствора Гилан Ультра комфорт на эпителии роговой оболочки глаза образуется тонкая равномерная пленка, предохраняющая глаза от пересыхания, раздражения и развития воспаления передней поверхности глазного яблока. Действие защитной пленки начинается практически сразу, тем самым глаза надолго защищены от ощущения сухости, рези, чувства инородного тела, раздражения, которые часто возникают при работе за компьютером, при длительном использовании кондиционеров или другого офисного оборудования, в случаях ухудшения экологической обстановки. При систематическом ношении контактных линз рекомендуется применение офтальмологического раствора Гилан Ультра комфорт, который способствует длительному увлажнению глаза, так как его действие идентично натуральной слезной жидкости. Офтальмологический раствор Гилан Ультра комфорт не содержит консервантов, поэтому отсутствует нежелательное токсическое действие на ткани глаза. Гилан Ультра комфорт оказывает более длительное </w:t>
      </w:r>
      <w:r>
        <w:rPr>
          <w:rFonts w:ascii="Arial" w:hAnsi="Arial" w:cs="Arial"/>
          <w:color w:val="1E1E1E"/>
        </w:rPr>
        <w:lastRenderedPageBreak/>
        <w:t>действие за счет более высокого содержания натрия гиалуроната и повышенной вязкости раствора в пределах 9,0 – 16,0 мПа/с.</w:t>
      </w:r>
    </w:p>
    <w:p w14:paraId="2E162B98" w14:textId="77777777" w:rsidR="008F486B" w:rsidRPr="004A764F" w:rsidRDefault="008F486B" w:rsidP="008F486B">
      <w:pPr>
        <w:numPr>
          <w:ilvl w:val="0"/>
          <w:numId w:val="1"/>
        </w:numPr>
        <w:pBdr>
          <w:top w:val="single" w:sz="6" w:space="0" w:color="DEDEDE"/>
          <w:bottom w:val="single" w:sz="6" w:space="0" w:color="DEDEDE"/>
        </w:pBdr>
        <w:shd w:val="clear" w:color="auto" w:fill="FFFFFF"/>
        <w:spacing w:after="0" w:line="360" w:lineRule="atLeast"/>
        <w:ind w:left="0"/>
        <w:outlineLvl w:val="2"/>
        <w:rPr>
          <w:rFonts w:ascii="Arial" w:eastAsia="Times New Roman" w:hAnsi="Arial" w:cs="Arial"/>
          <w:b/>
          <w:color w:val="1E1E1E"/>
          <w:sz w:val="30"/>
          <w:szCs w:val="30"/>
          <w:highlight w:val="cyan"/>
          <w:lang w:eastAsia="ru-RU"/>
        </w:rPr>
      </w:pPr>
      <w:r w:rsidRPr="004A764F">
        <w:rPr>
          <w:rFonts w:ascii="Arial" w:eastAsia="Times New Roman" w:hAnsi="Arial" w:cs="Arial"/>
          <w:b/>
          <w:color w:val="1E1E1E"/>
          <w:sz w:val="30"/>
          <w:szCs w:val="30"/>
          <w:highlight w:val="cyan"/>
          <w:lang w:eastAsia="ru-RU"/>
        </w:rPr>
        <w:t>Инструкция по применению Seni Lady Mini 12 шт прокладки урологические 2 капли</w:t>
      </w:r>
    </w:p>
    <w:p w14:paraId="239339EA" w14:textId="77777777" w:rsidR="008F486B" w:rsidRDefault="008F486B" w:rsidP="008F486B">
      <w:pPr>
        <w:pStyle w:val="3"/>
        <w:numPr>
          <w:ilvl w:val="0"/>
          <w:numId w:val="4"/>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62219BB9" w14:textId="77777777" w:rsidR="008F486B" w:rsidRDefault="008F486B" w:rsidP="008F486B">
      <w:pPr>
        <w:pStyle w:val="ac"/>
        <w:pBdr>
          <w:top w:val="single" w:sz="6" w:space="0" w:color="DEDEDE"/>
          <w:bottom w:val="single" w:sz="6" w:space="0" w:color="DEDEDE"/>
        </w:pBdr>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«Дышащие» урологические прокладки Seni Lady созданы специально для женщин, которые ведут активный образ жизни, ценят комфорт и защищенность в сочетании с незаметностью. Прокладки идеально повторяют форму тела, благодаря чему незаметны под одеждой.</w:t>
      </w:r>
    </w:p>
    <w:p w14:paraId="3E60009E" w14:textId="77777777" w:rsidR="008F486B" w:rsidRDefault="008F486B" w:rsidP="008F486B">
      <w:pPr>
        <w:pStyle w:val="ac"/>
        <w:numPr>
          <w:ilvl w:val="1"/>
          <w:numId w:val="4"/>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анатомическая форма – оптимальное прилегание к телу</w:t>
      </w:r>
    </w:p>
    <w:p w14:paraId="04048345" w14:textId="77777777" w:rsidR="008F486B" w:rsidRDefault="008F486B" w:rsidP="008F486B">
      <w:pPr>
        <w:pStyle w:val="ac"/>
        <w:numPr>
          <w:ilvl w:val="1"/>
          <w:numId w:val="4"/>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защищают от протеканий – повышенная безопасность</w:t>
      </w:r>
    </w:p>
    <w:p w14:paraId="3C2CA7B0" w14:textId="77777777" w:rsidR="008F486B" w:rsidRDefault="008F486B" w:rsidP="008F486B">
      <w:pPr>
        <w:pStyle w:val="ac"/>
        <w:numPr>
          <w:ilvl w:val="1"/>
          <w:numId w:val="4"/>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7 размеров – возможность выбора прокладки, соответствующей индивидуальным потребностям</w:t>
      </w:r>
    </w:p>
    <w:p w14:paraId="1829D891" w14:textId="77777777" w:rsidR="008F486B" w:rsidRDefault="008F486B" w:rsidP="008F486B">
      <w:pPr>
        <w:pStyle w:val="ac"/>
        <w:numPr>
          <w:ilvl w:val="1"/>
          <w:numId w:val="4"/>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широкая клеящаяся полоса – легкое и надежное крепление к нижнему белью</w:t>
      </w:r>
    </w:p>
    <w:p w14:paraId="1865ED0C" w14:textId="77777777" w:rsidR="008F486B" w:rsidRDefault="008F486B" w:rsidP="008F486B">
      <w:pPr>
        <w:pStyle w:val="ac"/>
        <w:numPr>
          <w:ilvl w:val="1"/>
          <w:numId w:val="4"/>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впитывающий слой с антибактериальным суперабсорбентом – предотвращение неприятного запаха</w:t>
      </w:r>
    </w:p>
    <w:p w14:paraId="1943ABF2" w14:textId="77777777" w:rsidR="008F486B" w:rsidRDefault="008F486B" w:rsidP="008F486B">
      <w:pPr>
        <w:pStyle w:val="ac"/>
        <w:numPr>
          <w:ilvl w:val="1"/>
          <w:numId w:val="4"/>
        </w:numPr>
        <w:pBdr>
          <w:top w:val="single" w:sz="6" w:space="0" w:color="DEDEDE"/>
          <w:bottom w:val="single" w:sz="6" w:space="0" w:color="DEDEDE"/>
        </w:pBdr>
        <w:shd w:val="clear" w:color="auto" w:fill="FFFFFF"/>
        <w:spacing w:before="0" w:beforeAutospacing="0" w:after="0" w:afterAutospacing="0" w:line="285" w:lineRule="atLeast"/>
        <w:ind w:left="0"/>
        <w:rPr>
          <w:rFonts w:ascii="Arial" w:hAnsi="Arial" w:cs="Arial"/>
          <w:color w:val="1E1E1E"/>
        </w:rPr>
      </w:pPr>
      <w:r>
        <w:rPr>
          <w:rFonts w:ascii="Arial" w:hAnsi="Arial" w:cs="Arial"/>
          <w:color w:val="1E1E1E"/>
        </w:rPr>
        <w:t>могут быть использованы в до- и послеродовой период</w:t>
      </w:r>
    </w:p>
    <w:p w14:paraId="54281A6F" w14:textId="77777777" w:rsidR="008F486B" w:rsidRDefault="008F486B" w:rsidP="008F486B">
      <w:pPr>
        <w:pStyle w:val="3"/>
        <w:numPr>
          <w:ilvl w:val="0"/>
          <w:numId w:val="4"/>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Показания к применению</w:t>
      </w:r>
    </w:p>
    <w:p w14:paraId="218B0505" w14:textId="77777777" w:rsidR="008F486B" w:rsidRDefault="008F486B" w:rsidP="008F486B">
      <w:pPr>
        <w:pStyle w:val="ac"/>
        <w:pBdr>
          <w:bottom w:val="single" w:sz="6" w:space="0" w:color="DEDEDE"/>
        </w:pBdr>
        <w:shd w:val="clear" w:color="auto" w:fill="FFFFFF"/>
        <w:spacing w:before="0" w:beforeAutospacing="0" w:after="0" w:afterAutospacing="0" w:line="285" w:lineRule="atLeast"/>
        <w:rPr>
          <w:rFonts w:ascii="Arial" w:hAnsi="Arial" w:cs="Arial"/>
          <w:color w:val="1E1E1E"/>
        </w:rPr>
      </w:pPr>
      <w:r>
        <w:rPr>
          <w:rFonts w:ascii="Arial" w:hAnsi="Arial" w:cs="Arial"/>
          <w:color w:val="1E1E1E"/>
        </w:rPr>
        <w:t>Урологические прокладки Seni Lady Mini (2 капли) для защиты при легкой степени недержания мочи.  </w:t>
      </w:r>
    </w:p>
    <w:p w14:paraId="6D4C4B7C"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Могут быть использованы в до- и послеродовой период.</w:t>
      </w:r>
    </w:p>
    <w:p w14:paraId="22F8B681" w14:textId="77777777" w:rsidR="008F486B" w:rsidRDefault="008F486B" w:rsidP="008F486B">
      <w:pPr>
        <w:pStyle w:val="3"/>
        <w:numPr>
          <w:ilvl w:val="0"/>
          <w:numId w:val="4"/>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3A7E406A" w14:textId="77777777" w:rsidR="008F486B" w:rsidRDefault="008F486B" w:rsidP="008F486B">
      <w:pPr>
        <w:pStyle w:val="product-details-instructions-mainitem"/>
        <w:numPr>
          <w:ilvl w:val="1"/>
          <w:numId w:val="4"/>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впитывающий слой с антибактериальным суперабсорбентом;</w:t>
      </w:r>
    </w:p>
    <w:p w14:paraId="1879FC46" w14:textId="77777777" w:rsidR="008F486B" w:rsidRDefault="008F486B" w:rsidP="008F486B">
      <w:pPr>
        <w:pStyle w:val="product-details-instructions-mainitem"/>
        <w:numPr>
          <w:ilvl w:val="1"/>
          <w:numId w:val="4"/>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мягкий верхний слой из нетканого материала;</w:t>
      </w:r>
    </w:p>
    <w:p w14:paraId="1ACFD423" w14:textId="77777777" w:rsidR="008F486B" w:rsidRDefault="008F486B" w:rsidP="008F486B">
      <w:pPr>
        <w:pStyle w:val="product-details-instructions-mainitem"/>
        <w:numPr>
          <w:ilvl w:val="1"/>
          <w:numId w:val="4"/>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«дышащий» внешний слой;</w:t>
      </w:r>
    </w:p>
    <w:p w14:paraId="3209F9DD" w14:textId="77777777" w:rsidR="008F486B" w:rsidRDefault="008F486B" w:rsidP="008F486B">
      <w:pPr>
        <w:pStyle w:val="product-details-instructions-mainitem"/>
        <w:numPr>
          <w:ilvl w:val="1"/>
          <w:numId w:val="4"/>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анатомическая форма;</w:t>
      </w:r>
    </w:p>
    <w:p w14:paraId="43C36123" w14:textId="77777777" w:rsidR="008F486B" w:rsidRDefault="008F486B" w:rsidP="008F486B">
      <w:pPr>
        <w:pStyle w:val="product-details-instructions-mainitem"/>
        <w:numPr>
          <w:ilvl w:val="1"/>
          <w:numId w:val="4"/>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широкая клеящаяся полоса.</w:t>
      </w:r>
    </w:p>
    <w:p w14:paraId="39724AFD" w14:textId="77777777" w:rsidR="008F486B" w:rsidRDefault="008F486B" w:rsidP="008F486B">
      <w:pPr>
        <w:pStyle w:val="3"/>
        <w:numPr>
          <w:ilvl w:val="0"/>
          <w:numId w:val="4"/>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Действие</w:t>
      </w:r>
    </w:p>
    <w:p w14:paraId="70B3AC7D" w14:textId="77777777" w:rsidR="008F486B" w:rsidRDefault="008F486B" w:rsidP="008F486B">
      <w:pPr>
        <w:pStyle w:val="product-details-instructions-mainitem"/>
        <w:numPr>
          <w:ilvl w:val="1"/>
          <w:numId w:val="4"/>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анатомическая форма – оптимальное прилегание к телу</w:t>
      </w:r>
    </w:p>
    <w:p w14:paraId="37ED3CC9" w14:textId="77777777" w:rsidR="008F486B" w:rsidRDefault="008F486B" w:rsidP="008F486B">
      <w:pPr>
        <w:pStyle w:val="product-details-instructions-mainitem"/>
        <w:numPr>
          <w:ilvl w:val="1"/>
          <w:numId w:val="4"/>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гидрофобные боковые бортики - дополнительная защита от протеканий, особенно во время движения и при смене положения тела</w:t>
      </w:r>
    </w:p>
    <w:p w14:paraId="2341AAC9" w14:textId="77777777" w:rsidR="008F486B" w:rsidRDefault="008F486B" w:rsidP="008F486B">
      <w:pPr>
        <w:pStyle w:val="product-details-instructions-mainitem"/>
        <w:numPr>
          <w:ilvl w:val="1"/>
          <w:numId w:val="4"/>
        </w:numPr>
        <w:pBdr>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широкая клеящаяся полоса – легкое и надежное крепление к нижнему белью</w:t>
      </w:r>
    </w:p>
    <w:p w14:paraId="2941AA9A" w14:textId="77777777" w:rsidR="008F486B" w:rsidRPr="004C045C" w:rsidRDefault="008F486B" w:rsidP="008F486B">
      <w:pPr>
        <w:pStyle w:val="product-details-instructions-mainitem"/>
        <w:numPr>
          <w:ilvl w:val="1"/>
          <w:numId w:val="4"/>
        </w:numPr>
        <w:pBdr>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впитывающий слой с антибактериальным суперабсорбентом – высокая поглощающая способность и нейтрализация неприятного запаха</w:t>
      </w:r>
    </w:p>
    <w:p w14:paraId="573A97A8" w14:textId="77777777" w:rsidR="008F486B" w:rsidRPr="004C045C" w:rsidRDefault="008F486B" w:rsidP="008F486B">
      <w:pPr>
        <w:numPr>
          <w:ilvl w:val="0"/>
          <w:numId w:val="1"/>
        </w:numPr>
        <w:pBdr>
          <w:top w:val="single" w:sz="6" w:space="0" w:color="DEDEDE"/>
          <w:bottom w:val="single" w:sz="6" w:space="0" w:color="DEDEDE"/>
        </w:pBdr>
        <w:shd w:val="clear" w:color="auto" w:fill="FFFFFF"/>
        <w:spacing w:after="0" w:line="360" w:lineRule="atLeast"/>
        <w:ind w:left="0"/>
        <w:outlineLvl w:val="2"/>
        <w:rPr>
          <w:rFonts w:ascii="Arial" w:eastAsia="Times New Roman" w:hAnsi="Arial" w:cs="Arial"/>
          <w:b/>
          <w:color w:val="1E1E1E"/>
          <w:sz w:val="30"/>
          <w:szCs w:val="30"/>
          <w:highlight w:val="cyan"/>
          <w:lang w:eastAsia="ru-RU"/>
        </w:rPr>
      </w:pPr>
      <w:r w:rsidRPr="004C045C">
        <w:rPr>
          <w:rFonts w:ascii="Arial" w:eastAsia="Times New Roman" w:hAnsi="Arial" w:cs="Arial"/>
          <w:b/>
          <w:color w:val="1E1E1E"/>
          <w:sz w:val="30"/>
          <w:szCs w:val="30"/>
          <w:highlight w:val="cyan"/>
          <w:lang w:eastAsia="ru-RU"/>
        </w:rPr>
        <w:t>Инструкция по применению Интекс чулки компрессионные 1 класс женские универсальный размер белые на резинке</w:t>
      </w:r>
    </w:p>
    <w:p w14:paraId="7DD8ED55" w14:textId="77777777" w:rsidR="008F486B" w:rsidRDefault="008F486B" w:rsidP="008F486B">
      <w:pPr>
        <w:pStyle w:val="3"/>
        <w:numPr>
          <w:ilvl w:val="0"/>
          <w:numId w:val="5"/>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0615C5E7" w14:textId="77777777" w:rsidR="008F486B" w:rsidRDefault="008F486B" w:rsidP="008F486B">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 xml:space="preserve">Антиэмболические компрессионные чулки на роды и операцию Интекс Универсал 1 класс компрессии (18-21 мм.рт.ст.) идеально подходят для мужчин и женщин. Уникальная запатентованная технология производства позволит не ошибиться с </w:t>
      </w:r>
      <w:r>
        <w:rPr>
          <w:rFonts w:ascii="Arial" w:hAnsi="Arial" w:cs="Arial"/>
          <w:color w:val="1E1E1E"/>
        </w:rPr>
        <w:lastRenderedPageBreak/>
        <w:t>подбором размера. Вне зависимости от параметров и фигуры в границах размеров S-XL гарантированно сохраняется 1 класс компрессии. Модель комфортно садится на широкое бедро и нестандартные размеры. Антиэмболические чулки помогают для профилактики тромбозов нижних конечностей и тромбоэмболии артерий во время и после операций и родов, а также у лежачих больных в условиях больничного стационара.</w:t>
      </w:r>
    </w:p>
    <w:p w14:paraId="0C55D150" w14:textId="77777777" w:rsidR="008F486B" w:rsidRDefault="008F486B" w:rsidP="008F486B">
      <w:pPr>
        <w:pStyle w:val="3"/>
        <w:numPr>
          <w:ilvl w:val="0"/>
          <w:numId w:val="5"/>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534BABD9"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Антиэмболический трикотаж следует надевать в положении лежа на спине на чистую и сухую кожу; в день операции с утра ( не вставая с кроватии), а при естественных родах-при первых схватках. Предварительно следует вывернуть изделие на изнанку, затем собрать в гармошку от верхней части до мыска и плавно натянуть его на ногу, после чего равноверно распределить по всей длине, чтобы не было складок. Для облегчения надевания изделия можно воспользоваться специальным приспособлением- батлером, а также резиновыми или медицинскими перчатками.</w:t>
      </w:r>
    </w:p>
    <w:p w14:paraId="190C901B" w14:textId="77777777" w:rsidR="008F486B" w:rsidRDefault="008F486B" w:rsidP="008F486B">
      <w:pPr>
        <w:pStyle w:val="3"/>
        <w:numPr>
          <w:ilvl w:val="0"/>
          <w:numId w:val="5"/>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Противопоказания</w:t>
      </w:r>
    </w:p>
    <w:p w14:paraId="12012158"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Хронические облитерирующие заболевания артерий нижних конечностей (эндартериит, атеросклероз сосудов, синдром Рейно), тяжелые формы диабетической ангиопатии и полинейропатии, трофические язвы не венозного происхождения, септический флебит, острые инфекции мягких тканей, а также индивидуальная непереносимость материалов, входящих в состав изделия.</w:t>
      </w:r>
    </w:p>
    <w:p w14:paraId="5068F606" w14:textId="77777777" w:rsidR="008F486B" w:rsidRDefault="008F486B" w:rsidP="008F486B">
      <w:pPr>
        <w:pStyle w:val="3"/>
        <w:numPr>
          <w:ilvl w:val="0"/>
          <w:numId w:val="5"/>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Показания к применению</w:t>
      </w:r>
    </w:p>
    <w:p w14:paraId="65B321D7"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Повышенная свёртываемость и вязкость крови, отёчность, нарушение кровотока, наличие варикозных узлов на венах и большого количества сосудистых звёздочек, болевые ощущения, обострение патологий венозной системы, нахождение в палате интенсивной терапии или в реанимации, во время продолжительного постельного режима (при травмах, после нарушения мозгового кровообращения, после инфарктов, в неврологической практике), а так же в качестве временной замены обычного компрессионного трикотажа и эластичных компрессионных бинтов.</w:t>
      </w:r>
    </w:p>
    <w:p w14:paraId="242610E5" w14:textId="77777777" w:rsidR="008F486B" w:rsidRDefault="008F486B" w:rsidP="008F486B">
      <w:pPr>
        <w:pStyle w:val="3"/>
        <w:numPr>
          <w:ilvl w:val="0"/>
          <w:numId w:val="5"/>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Условия хранения</w:t>
      </w:r>
    </w:p>
    <w:p w14:paraId="6362E839"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В сухом помещении при температуре от +5 до +25 градусов, в недоступных для детей местах. Отсутствие воздействия прямых солнечных лучей. Нахождение на рассмотрении не менее 1 м. от теплоизлучающих приборов.</w:t>
      </w:r>
    </w:p>
    <w:p w14:paraId="6473B409" w14:textId="77777777" w:rsidR="008F486B" w:rsidRDefault="008F486B" w:rsidP="008F486B">
      <w:pPr>
        <w:pStyle w:val="3"/>
        <w:numPr>
          <w:ilvl w:val="0"/>
          <w:numId w:val="5"/>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Особые указания</w:t>
      </w:r>
    </w:p>
    <w:p w14:paraId="45CEBB99" w14:textId="77777777" w:rsidR="008F486B"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 xml:space="preserve">Единый универсальный размер; распределенная компрессия от лодыжки к бедру, стимулирующая отток крови и лимфы; отерстие на стопе позволяет контролировать состояние сосудов, не снимая чулки, а так же не учитывать размер стопы при выборе чулок; резинка вывязана вместе с компрессионным </w:t>
      </w:r>
      <w:r>
        <w:rPr>
          <w:rFonts w:ascii="Arial" w:hAnsi="Arial" w:cs="Arial"/>
          <w:color w:val="1E1E1E"/>
        </w:rPr>
        <w:lastRenderedPageBreak/>
        <w:t>чулком, что полностью исключает отрыв резинки при надевании, ячеистая вязка обеспечит комфортное ношение и терморегуляцию кожи. Антиэмболические противоварикозные компрессионные чулки входят в рекомендуемые товары в роддом для беременных женщин. Госпитальные операционные чулки 1 класса помогут избежать риска появления варикоза, растяжения стенок вен, тромбофлебита.</w:t>
      </w:r>
    </w:p>
    <w:p w14:paraId="26FFBFDD" w14:textId="77777777" w:rsidR="008F486B" w:rsidRDefault="008F486B" w:rsidP="008F486B">
      <w:pPr>
        <w:pStyle w:val="3"/>
        <w:numPr>
          <w:ilvl w:val="0"/>
          <w:numId w:val="5"/>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3C704E9D" w14:textId="77777777" w:rsidR="008F486B" w:rsidRPr="004C045C" w:rsidRDefault="008F486B" w:rsidP="008F486B">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Эластан, Полиамид, Силикон.</w:t>
      </w:r>
    </w:p>
    <w:p w14:paraId="69327A71" w14:textId="77777777" w:rsidR="007F089F" w:rsidRDefault="007F089F"/>
    <w:sectPr w:rsidR="007F08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2BF"/>
    <w:multiLevelType w:val="multilevel"/>
    <w:tmpl w:val="1678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27B6"/>
    <w:multiLevelType w:val="multilevel"/>
    <w:tmpl w:val="67EE7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502FA"/>
    <w:multiLevelType w:val="multilevel"/>
    <w:tmpl w:val="CDF2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E7DD2"/>
    <w:multiLevelType w:val="multilevel"/>
    <w:tmpl w:val="659EF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0452C"/>
    <w:multiLevelType w:val="multilevel"/>
    <w:tmpl w:val="B3D46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492011">
    <w:abstractNumId w:val="3"/>
  </w:num>
  <w:num w:numId="2" w16cid:durableId="1711686484">
    <w:abstractNumId w:val="4"/>
  </w:num>
  <w:num w:numId="3" w16cid:durableId="1434738870">
    <w:abstractNumId w:val="2"/>
  </w:num>
  <w:num w:numId="4" w16cid:durableId="1822230610">
    <w:abstractNumId w:val="1"/>
  </w:num>
  <w:num w:numId="5" w16cid:durableId="1218398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9F"/>
    <w:rsid w:val="000A147A"/>
    <w:rsid w:val="007F089F"/>
    <w:rsid w:val="008F48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1BA1C0-E99D-4AE9-AE51-31B430D4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486B"/>
    <w:pPr>
      <w:spacing w:line="259" w:lineRule="auto"/>
    </w:pPr>
    <w:rPr>
      <w:kern w:val="0"/>
      <w:sz w:val="22"/>
      <w:szCs w:val="22"/>
      <w14:ligatures w14:val="none"/>
    </w:rPr>
  </w:style>
  <w:style w:type="paragraph" w:styleId="1">
    <w:name w:val="heading 1"/>
    <w:basedOn w:val="a"/>
    <w:next w:val="a"/>
    <w:link w:val="10"/>
    <w:uiPriority w:val="9"/>
    <w:qFormat/>
    <w:rsid w:val="007F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F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F089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F08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F08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08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08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08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08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089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F089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7F089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F089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F089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F089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F089F"/>
    <w:rPr>
      <w:rFonts w:eastAsiaTheme="majorEastAsia" w:cstheme="majorBidi"/>
      <w:color w:val="595959" w:themeColor="text1" w:themeTint="A6"/>
    </w:rPr>
  </w:style>
  <w:style w:type="character" w:customStyle="1" w:styleId="80">
    <w:name w:val="Заголовок 8 Знак"/>
    <w:basedOn w:val="a0"/>
    <w:link w:val="8"/>
    <w:uiPriority w:val="9"/>
    <w:semiHidden/>
    <w:rsid w:val="007F089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F089F"/>
    <w:rPr>
      <w:rFonts w:eastAsiaTheme="majorEastAsia" w:cstheme="majorBidi"/>
      <w:color w:val="272727" w:themeColor="text1" w:themeTint="D8"/>
    </w:rPr>
  </w:style>
  <w:style w:type="paragraph" w:styleId="a3">
    <w:name w:val="Title"/>
    <w:basedOn w:val="a"/>
    <w:next w:val="a"/>
    <w:link w:val="a4"/>
    <w:uiPriority w:val="10"/>
    <w:qFormat/>
    <w:rsid w:val="007F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F08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089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F089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F089F"/>
    <w:pPr>
      <w:spacing w:before="160"/>
      <w:jc w:val="center"/>
    </w:pPr>
    <w:rPr>
      <w:i/>
      <w:iCs/>
      <w:color w:val="404040" w:themeColor="text1" w:themeTint="BF"/>
    </w:rPr>
  </w:style>
  <w:style w:type="character" w:customStyle="1" w:styleId="22">
    <w:name w:val="Цитата 2 Знак"/>
    <w:basedOn w:val="a0"/>
    <w:link w:val="21"/>
    <w:uiPriority w:val="29"/>
    <w:rsid w:val="007F089F"/>
    <w:rPr>
      <w:i/>
      <w:iCs/>
      <w:color w:val="404040" w:themeColor="text1" w:themeTint="BF"/>
    </w:rPr>
  </w:style>
  <w:style w:type="paragraph" w:styleId="a7">
    <w:name w:val="List Paragraph"/>
    <w:basedOn w:val="a"/>
    <w:uiPriority w:val="34"/>
    <w:qFormat/>
    <w:rsid w:val="007F089F"/>
    <w:pPr>
      <w:ind w:left="720"/>
      <w:contextualSpacing/>
    </w:pPr>
  </w:style>
  <w:style w:type="character" w:styleId="a8">
    <w:name w:val="Intense Emphasis"/>
    <w:basedOn w:val="a0"/>
    <w:uiPriority w:val="21"/>
    <w:qFormat/>
    <w:rsid w:val="007F089F"/>
    <w:rPr>
      <w:i/>
      <w:iCs/>
      <w:color w:val="0F4761" w:themeColor="accent1" w:themeShade="BF"/>
    </w:rPr>
  </w:style>
  <w:style w:type="paragraph" w:styleId="a9">
    <w:name w:val="Intense Quote"/>
    <w:basedOn w:val="a"/>
    <w:next w:val="a"/>
    <w:link w:val="aa"/>
    <w:uiPriority w:val="30"/>
    <w:qFormat/>
    <w:rsid w:val="007F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F089F"/>
    <w:rPr>
      <w:i/>
      <w:iCs/>
      <w:color w:val="0F4761" w:themeColor="accent1" w:themeShade="BF"/>
    </w:rPr>
  </w:style>
  <w:style w:type="character" w:styleId="ab">
    <w:name w:val="Intense Reference"/>
    <w:basedOn w:val="a0"/>
    <w:uiPriority w:val="32"/>
    <w:qFormat/>
    <w:rsid w:val="007F089F"/>
    <w:rPr>
      <w:b/>
      <w:bCs/>
      <w:smallCaps/>
      <w:color w:val="0F4761" w:themeColor="accent1" w:themeShade="BF"/>
      <w:spacing w:val="5"/>
    </w:rPr>
  </w:style>
  <w:style w:type="paragraph" w:customStyle="1" w:styleId="product-details-instructions-mainitem">
    <w:name w:val="product-details-instructions-main__item"/>
    <w:basedOn w:val="a"/>
    <w:rsid w:val="008F486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c">
    <w:name w:val="Normal (Web)"/>
    <w:basedOn w:val="a"/>
    <w:uiPriority w:val="99"/>
    <w:unhideWhenUsed/>
    <w:rsid w:val="008F486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2296</Words>
  <Characters>13089</Characters>
  <Application>Microsoft Office Word</Application>
  <DocSecurity>0</DocSecurity>
  <Lines>109</Lines>
  <Paragraphs>30</Paragraphs>
  <ScaleCrop>false</ScaleCrop>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Аксентьев</dc:creator>
  <cp:keywords/>
  <dc:description/>
  <cp:lastModifiedBy>Алексей Аксентьев</cp:lastModifiedBy>
  <cp:revision>2</cp:revision>
  <dcterms:created xsi:type="dcterms:W3CDTF">2026-07-21T06:57:00Z</dcterms:created>
  <dcterms:modified xsi:type="dcterms:W3CDTF">2026-07-21T06:58:00Z</dcterms:modified>
</cp:coreProperties>
</file>