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C9EB" w14:textId="5F4E9F8C" w:rsidR="00873390" w:rsidRDefault="00D325C5" w:rsidP="00D325C5">
      <w:pPr>
        <w:pStyle w:val="Heading1"/>
        <w:rPr>
          <w:lang w:val="en-US"/>
        </w:rPr>
      </w:pPr>
      <w:bookmarkStart w:id="0" w:name="_Toc193616360"/>
      <w:r>
        <w:rPr>
          <w:lang w:val="en-US"/>
        </w:rPr>
        <w:t>Introduction</w:t>
      </w:r>
      <w:bookmarkEnd w:id="0"/>
    </w:p>
    <w:p w14:paraId="0141FB0B" w14:textId="4CB267F2" w:rsidR="00D325C5" w:rsidRDefault="00D325C5" w:rsidP="00D325C5">
      <w:pPr>
        <w:pStyle w:val="Heading2"/>
        <w:rPr>
          <w:lang w:val="en-US"/>
        </w:rPr>
      </w:pPr>
      <w:bookmarkStart w:id="1" w:name="_Toc193616361"/>
      <w:r>
        <w:rPr>
          <w:lang w:val="en-US"/>
        </w:rPr>
        <w:t>Overview</w:t>
      </w:r>
      <w:bookmarkEnd w:id="1"/>
    </w:p>
    <w:p w14:paraId="31AA74B6" w14:textId="35F5EEB1" w:rsidR="00B4571F" w:rsidRDefault="00B4571F" w:rsidP="00CE3869">
      <w:pPr>
        <w:jc w:val="both"/>
        <w:rPr>
          <w:lang w:val="en-US"/>
        </w:rPr>
      </w:pPr>
      <w:r w:rsidRPr="00B4571F">
        <w:rPr>
          <w:lang w:val="en-US"/>
        </w:rPr>
        <w:t xml:space="preserve">This report </w:t>
      </w:r>
      <w:proofErr w:type="spellStart"/>
      <w:r w:rsidRPr="00B4571F">
        <w:rPr>
          <w:lang w:val="en-US"/>
        </w:rPr>
        <w:t>summarises</w:t>
      </w:r>
      <w:proofErr w:type="spellEnd"/>
      <w:r w:rsidRPr="00B4571F">
        <w:rPr>
          <w:lang w:val="en-US"/>
        </w:rPr>
        <w:t xml:space="preserve"> the Solvency Position of Smart Insurance Ltd (the Company) for year-end 2024 with comparison to the previous year-end. </w:t>
      </w:r>
    </w:p>
    <w:p w14:paraId="4A9AD970" w14:textId="477A15FD" w:rsidR="00B4571F" w:rsidRDefault="00B4571F" w:rsidP="00CE3869">
      <w:pPr>
        <w:jc w:val="both"/>
        <w:rPr>
          <w:lang w:val="en-US"/>
        </w:rPr>
      </w:pPr>
      <w:r w:rsidRPr="00B4571F">
        <w:rPr>
          <w:lang w:val="en-US"/>
        </w:rPr>
        <w:t>The Solvency Ratio decreased by 12.8% from 150.8% to 138.0% since the previous year. Analysis of the drivers of the results is provided in Section 2.</w:t>
      </w:r>
    </w:p>
    <w:p w14:paraId="23BF7C46" w14:textId="4A95F075" w:rsidR="00D325C5" w:rsidRDefault="00D325C5" w:rsidP="00D325C5">
      <w:pPr>
        <w:pStyle w:val="Heading2"/>
        <w:rPr>
          <w:lang w:val="en-US"/>
        </w:rPr>
      </w:pPr>
      <w:bookmarkStart w:id="2" w:name="_Toc193616362"/>
      <w:r>
        <w:rPr>
          <w:lang w:val="en-US"/>
        </w:rPr>
        <w:t>Background</w:t>
      </w:r>
      <w:bookmarkEnd w:id="2"/>
    </w:p>
    <w:p w14:paraId="79CD7F48" w14:textId="58BBF2D9" w:rsidR="00B4571F" w:rsidRDefault="00B4571F" w:rsidP="00CE3869">
      <w:pPr>
        <w:jc w:val="both"/>
        <w:rPr>
          <w:lang w:val="en-US"/>
        </w:rPr>
      </w:pPr>
      <w:r w:rsidRPr="00B4571F">
        <w:rPr>
          <w:lang w:val="en-US"/>
        </w:rPr>
        <w:t>The capital regime for an insurance undertaking in the EU is governed by the Solvency II Directive. This directive requires insurance undertakings to report their solvency and financial condition to the supervisory authorities on a regular basis, typically quarterly or annually.</w:t>
      </w:r>
    </w:p>
    <w:p w14:paraId="56A3A475" w14:textId="10C11A64" w:rsidR="00D325C5" w:rsidRDefault="00D325C5" w:rsidP="00D325C5">
      <w:pPr>
        <w:pStyle w:val="Heading2"/>
        <w:rPr>
          <w:lang w:val="en-US"/>
        </w:rPr>
      </w:pPr>
      <w:bookmarkStart w:id="3" w:name="_Toc193616363"/>
      <w:r>
        <w:rPr>
          <w:lang w:val="en-US"/>
        </w:rPr>
        <w:t>Scope</w:t>
      </w:r>
      <w:bookmarkEnd w:id="3"/>
    </w:p>
    <w:p w14:paraId="4EF0A2BF" w14:textId="50468EEC" w:rsidR="00E90DB0" w:rsidRDefault="00E90DB0" w:rsidP="00E90DB0">
      <w:pPr>
        <w:rPr>
          <w:lang w:val="en-US"/>
        </w:rPr>
      </w:pPr>
      <w:r>
        <w:rPr>
          <w:lang w:val="en-US"/>
        </w:rPr>
        <w:t xml:space="preserve">The scope of this report </w:t>
      </w:r>
      <w:r w:rsidR="00CE3869">
        <w:rPr>
          <w:lang w:val="en-US"/>
        </w:rPr>
        <w:t>includes t</w:t>
      </w:r>
      <w:r w:rsidR="00440FC4">
        <w:rPr>
          <w:lang w:val="en-US"/>
        </w:rPr>
        <w:t>he annual results of Smart Insurance Ltd in terms of</w:t>
      </w:r>
      <w:r w:rsidR="0013157B">
        <w:rPr>
          <w:lang w:val="en-US"/>
        </w:rPr>
        <w:t>:</w:t>
      </w:r>
    </w:p>
    <w:p w14:paraId="405AA168" w14:textId="62EA496A" w:rsidR="00E90DB0" w:rsidRDefault="00E90DB0" w:rsidP="00E90DB0">
      <w:pPr>
        <w:pStyle w:val="ListParagraph"/>
        <w:numPr>
          <w:ilvl w:val="0"/>
          <w:numId w:val="2"/>
        </w:numPr>
        <w:rPr>
          <w:lang w:val="en-US"/>
        </w:rPr>
      </w:pPr>
      <w:r>
        <w:rPr>
          <w:lang w:val="en-US"/>
        </w:rPr>
        <w:t>Solvency Capital Requirement (SCR)</w:t>
      </w:r>
    </w:p>
    <w:p w14:paraId="1D17E3DC" w14:textId="4F112D05" w:rsidR="00E90DB0" w:rsidRDefault="00E90DB0" w:rsidP="00E90DB0">
      <w:pPr>
        <w:pStyle w:val="ListParagraph"/>
        <w:numPr>
          <w:ilvl w:val="0"/>
          <w:numId w:val="2"/>
        </w:numPr>
        <w:rPr>
          <w:lang w:val="en-US"/>
        </w:rPr>
      </w:pPr>
      <w:r>
        <w:rPr>
          <w:lang w:val="en-US"/>
        </w:rPr>
        <w:t>Own Funds</w:t>
      </w:r>
    </w:p>
    <w:p w14:paraId="1A77D5D9" w14:textId="510F5D72" w:rsidR="00E90DB0" w:rsidRDefault="00E90DB0" w:rsidP="00E90DB0">
      <w:pPr>
        <w:pStyle w:val="ListParagraph"/>
        <w:numPr>
          <w:ilvl w:val="0"/>
          <w:numId w:val="2"/>
        </w:numPr>
        <w:rPr>
          <w:lang w:val="en-US"/>
        </w:rPr>
      </w:pPr>
      <w:r>
        <w:rPr>
          <w:lang w:val="en-US"/>
        </w:rPr>
        <w:t>Solvency Ratio</w:t>
      </w:r>
    </w:p>
    <w:p w14:paraId="5580B481" w14:textId="0EB5BF94" w:rsidR="00E90DB0" w:rsidRPr="00E90DB0" w:rsidRDefault="0013157B" w:rsidP="00440FC4">
      <w:pPr>
        <w:jc w:val="both"/>
        <w:rPr>
          <w:lang w:val="en-US"/>
        </w:rPr>
      </w:pPr>
      <w:r>
        <w:rPr>
          <w:lang w:val="en-US"/>
        </w:rPr>
        <w:t xml:space="preserve">A more granular breakdown is provided for SCR only. </w:t>
      </w:r>
    </w:p>
    <w:p w14:paraId="68AC0A2B" w14:textId="247E6CB6" w:rsidR="00D325C5" w:rsidRDefault="00D325C5" w:rsidP="00D325C5">
      <w:pPr>
        <w:pStyle w:val="Heading1"/>
        <w:rPr>
          <w:lang w:val="en-US"/>
        </w:rPr>
      </w:pPr>
      <w:bookmarkStart w:id="4" w:name="_Toc193616364"/>
      <w:r>
        <w:rPr>
          <w:lang w:val="en-US"/>
        </w:rPr>
        <w:t>Results</w:t>
      </w:r>
      <w:bookmarkEnd w:id="4"/>
    </w:p>
    <w:p w14:paraId="211D5105" w14:textId="2E0D33F3" w:rsidR="002B11CB" w:rsidRDefault="00DA1E8E" w:rsidP="002B11CB">
      <w:pPr>
        <w:rPr>
          <w:lang w:val="en-US"/>
        </w:rPr>
      </w:pPr>
      <w:r>
        <w:rPr>
          <w:lang w:val="en-US"/>
        </w:rPr>
        <w:t xml:space="preserve">Table 1 below </w:t>
      </w:r>
      <w:proofErr w:type="spellStart"/>
      <w:r>
        <w:rPr>
          <w:lang w:val="en-US"/>
        </w:rPr>
        <w:t>summarises</w:t>
      </w:r>
      <w:proofErr w:type="spellEnd"/>
      <w:r w:rsidR="00E90DB0" w:rsidRPr="00E90DB0">
        <w:rPr>
          <w:lang w:val="en-US"/>
        </w:rPr>
        <w:t xml:space="preserve"> the Solvency Capital Requirements (SCR) of the entity for year-end 2024. </w:t>
      </w:r>
    </w:p>
    <w:p w14:paraId="46E50D79" w14:textId="0A6868C9" w:rsidR="0017523B" w:rsidRDefault="00440FC4" w:rsidP="0017523B">
      <w:pPr>
        <w:pStyle w:val="Caption"/>
        <w:spacing w:after="120"/>
        <w:rPr>
          <w:lang w:val="en-US"/>
        </w:rPr>
      </w:pPr>
      <w:r>
        <w:t xml:space="preserve">Table </w:t>
      </w:r>
      <w:fldSimple w:instr=" SEQ Table \* ARABIC ">
        <w:r>
          <w:rPr>
            <w:noProof/>
          </w:rPr>
          <w:t>1</w:t>
        </w:r>
      </w:fldSimple>
      <w:r>
        <w:rPr>
          <w:lang w:val="en-US"/>
        </w:rPr>
        <w:t xml:space="preserve"> – Summary of Solvency Position 2024 vs 2023</w:t>
      </w:r>
    </w:p>
    <w:tbl>
      <w:tblPr>
        <w:tblW w:w="5000" w:type="pct"/>
        <w:tblLook w:val="04A0" w:firstRow="1" w:lastRow="0" w:firstColumn="1" w:lastColumn="0" w:noHBand="0" w:noVBand="1"/>
      </w:tblPr>
      <w:tblGrid>
        <w:gridCol w:w="2419"/>
        <w:gridCol w:w="1662"/>
        <w:gridCol w:w="1662"/>
        <w:gridCol w:w="1662"/>
        <w:gridCol w:w="1351"/>
      </w:tblGrid>
      <w:tr w:rsidR="00B4571F" w:rsidRPr="00B4571F" w14:paraId="299F27A5" w14:textId="77777777" w:rsidTr="00B4571F">
        <w:trPr>
          <w:trHeight w:val="360"/>
        </w:trPr>
        <w:tc>
          <w:tcPr>
            <w:tcW w:w="1453" w:type="pct"/>
            <w:tcBorders>
              <w:top w:val="single" w:sz="4" w:space="0" w:color="auto"/>
              <w:left w:val="single" w:sz="4" w:space="0" w:color="auto"/>
              <w:bottom w:val="nil"/>
              <w:right w:val="nil"/>
            </w:tcBorders>
            <w:shd w:val="clear" w:color="000000" w:fill="002060"/>
            <w:noWrap/>
            <w:vAlign w:val="bottom"/>
            <w:hideMark/>
          </w:tcPr>
          <w:p w14:paraId="1DEB58A0" w14:textId="77777777" w:rsidR="00B4571F" w:rsidRPr="00B4571F" w:rsidRDefault="00B4571F" w:rsidP="00B4571F">
            <w:pPr>
              <w:spacing w:before="0" w:after="0" w:line="240" w:lineRule="auto"/>
              <w:rPr>
                <w:rFonts w:ascii="Calibri" w:eastAsia="Times New Roman" w:hAnsi="Calibri" w:cs="Calibri"/>
                <w:b/>
                <w:bCs/>
                <w:color w:val="FFFFFF"/>
                <w:sz w:val="18"/>
                <w:szCs w:val="18"/>
                <w:lang/>
              </w:rPr>
            </w:pPr>
            <w:r w:rsidRPr="00B4571F">
              <w:rPr>
                <w:rFonts w:ascii="Calibri" w:eastAsia="Times New Roman" w:hAnsi="Calibri" w:cs="Calibri"/>
                <w:b/>
                <w:bCs/>
                <w:color w:val="FFFFFF"/>
                <w:sz w:val="18"/>
                <w:szCs w:val="18"/>
                <w:lang/>
              </w:rPr>
              <w:t>€m</w:t>
            </w:r>
          </w:p>
        </w:tc>
        <w:tc>
          <w:tcPr>
            <w:tcW w:w="901" w:type="pct"/>
            <w:tcBorders>
              <w:top w:val="single" w:sz="4" w:space="0" w:color="auto"/>
              <w:left w:val="nil"/>
              <w:bottom w:val="nil"/>
              <w:right w:val="nil"/>
            </w:tcBorders>
            <w:shd w:val="clear" w:color="000000" w:fill="002060"/>
            <w:noWrap/>
            <w:vAlign w:val="bottom"/>
            <w:hideMark/>
          </w:tcPr>
          <w:p w14:paraId="68B3C212" w14:textId="77777777" w:rsidR="00B4571F" w:rsidRPr="00B4571F" w:rsidRDefault="00B4571F" w:rsidP="00B4571F">
            <w:pPr>
              <w:spacing w:before="0" w:after="0" w:line="240" w:lineRule="auto"/>
              <w:jc w:val="right"/>
              <w:rPr>
                <w:rFonts w:ascii="Calibri" w:eastAsia="Times New Roman" w:hAnsi="Calibri" w:cs="Calibri"/>
                <w:b/>
                <w:bCs/>
                <w:color w:val="FFFFFF"/>
                <w:sz w:val="18"/>
                <w:szCs w:val="18"/>
                <w:lang/>
              </w:rPr>
            </w:pPr>
            <w:r w:rsidRPr="00B4571F">
              <w:rPr>
                <w:rFonts w:ascii="Calibri" w:eastAsia="Times New Roman" w:hAnsi="Calibri" w:cs="Calibri"/>
                <w:b/>
                <w:bCs/>
                <w:color w:val="FFFFFF"/>
                <w:sz w:val="18"/>
                <w:szCs w:val="18"/>
                <w:lang/>
              </w:rPr>
              <w:t>2024</w:t>
            </w:r>
          </w:p>
        </w:tc>
        <w:tc>
          <w:tcPr>
            <w:tcW w:w="901" w:type="pct"/>
            <w:tcBorders>
              <w:top w:val="single" w:sz="4" w:space="0" w:color="auto"/>
              <w:left w:val="nil"/>
              <w:bottom w:val="nil"/>
              <w:right w:val="nil"/>
            </w:tcBorders>
            <w:shd w:val="clear" w:color="000000" w:fill="002060"/>
            <w:noWrap/>
            <w:vAlign w:val="bottom"/>
            <w:hideMark/>
          </w:tcPr>
          <w:p w14:paraId="53292579" w14:textId="77777777" w:rsidR="00B4571F" w:rsidRPr="00B4571F" w:rsidRDefault="00B4571F" w:rsidP="00B4571F">
            <w:pPr>
              <w:spacing w:before="0" w:after="0" w:line="240" w:lineRule="auto"/>
              <w:jc w:val="right"/>
              <w:rPr>
                <w:rFonts w:ascii="Calibri" w:eastAsia="Times New Roman" w:hAnsi="Calibri" w:cs="Calibri"/>
                <w:b/>
                <w:bCs/>
                <w:color w:val="FFFFFF"/>
                <w:sz w:val="18"/>
                <w:szCs w:val="18"/>
                <w:lang/>
              </w:rPr>
            </w:pPr>
            <w:r w:rsidRPr="00B4571F">
              <w:rPr>
                <w:rFonts w:ascii="Calibri" w:eastAsia="Times New Roman" w:hAnsi="Calibri" w:cs="Calibri"/>
                <w:b/>
                <w:bCs/>
                <w:color w:val="FFFFFF"/>
                <w:sz w:val="18"/>
                <w:szCs w:val="18"/>
                <w:lang/>
              </w:rPr>
              <w:t>2023</w:t>
            </w:r>
          </w:p>
        </w:tc>
        <w:tc>
          <w:tcPr>
            <w:tcW w:w="901" w:type="pct"/>
            <w:tcBorders>
              <w:top w:val="single" w:sz="4" w:space="0" w:color="auto"/>
              <w:left w:val="nil"/>
              <w:bottom w:val="nil"/>
              <w:right w:val="nil"/>
            </w:tcBorders>
            <w:shd w:val="clear" w:color="000000" w:fill="002060"/>
            <w:noWrap/>
            <w:vAlign w:val="bottom"/>
            <w:hideMark/>
          </w:tcPr>
          <w:p w14:paraId="6C8F733D" w14:textId="77777777" w:rsidR="00B4571F" w:rsidRPr="00B4571F" w:rsidRDefault="00B4571F" w:rsidP="00B4571F">
            <w:pPr>
              <w:spacing w:before="0" w:after="0" w:line="240" w:lineRule="auto"/>
              <w:jc w:val="right"/>
              <w:rPr>
                <w:rFonts w:ascii="Calibri" w:eastAsia="Times New Roman" w:hAnsi="Calibri" w:cs="Calibri"/>
                <w:b/>
                <w:bCs/>
                <w:color w:val="FFFFFF"/>
                <w:sz w:val="18"/>
                <w:szCs w:val="18"/>
                <w:lang/>
              </w:rPr>
            </w:pPr>
            <w:r w:rsidRPr="00B4571F">
              <w:rPr>
                <w:rFonts w:ascii="Calibri" w:eastAsia="Times New Roman" w:hAnsi="Calibri" w:cs="Calibri"/>
                <w:b/>
                <w:bCs/>
                <w:color w:val="FFFFFF"/>
                <w:sz w:val="18"/>
                <w:szCs w:val="18"/>
                <w:lang/>
              </w:rPr>
              <w:t>Movement</w:t>
            </w:r>
          </w:p>
        </w:tc>
        <w:tc>
          <w:tcPr>
            <w:tcW w:w="843" w:type="pct"/>
            <w:tcBorders>
              <w:top w:val="single" w:sz="4" w:space="0" w:color="auto"/>
              <w:left w:val="nil"/>
              <w:bottom w:val="nil"/>
              <w:right w:val="single" w:sz="4" w:space="0" w:color="auto"/>
            </w:tcBorders>
            <w:shd w:val="clear" w:color="000000" w:fill="002060"/>
            <w:noWrap/>
            <w:vAlign w:val="bottom"/>
            <w:hideMark/>
          </w:tcPr>
          <w:p w14:paraId="5644D4A8" w14:textId="77777777" w:rsidR="00B4571F" w:rsidRPr="00B4571F" w:rsidRDefault="00B4571F" w:rsidP="00B4571F">
            <w:pPr>
              <w:spacing w:before="0" w:after="0" w:line="240" w:lineRule="auto"/>
              <w:jc w:val="right"/>
              <w:rPr>
                <w:rFonts w:ascii="Calibri" w:eastAsia="Times New Roman" w:hAnsi="Calibri" w:cs="Calibri"/>
                <w:b/>
                <w:bCs/>
                <w:color w:val="FFFFFF"/>
                <w:sz w:val="18"/>
                <w:szCs w:val="18"/>
                <w:lang/>
              </w:rPr>
            </w:pPr>
            <w:r w:rsidRPr="00B4571F">
              <w:rPr>
                <w:rFonts w:ascii="Calibri" w:eastAsia="Times New Roman" w:hAnsi="Calibri" w:cs="Calibri"/>
                <w:b/>
                <w:bCs/>
                <w:color w:val="FFFFFF"/>
                <w:sz w:val="18"/>
                <w:szCs w:val="18"/>
                <w:lang/>
              </w:rPr>
              <w:t>Movement %</w:t>
            </w:r>
          </w:p>
        </w:tc>
      </w:tr>
      <w:tr w:rsidR="00B4571F" w:rsidRPr="00B4571F" w14:paraId="6E2B8355" w14:textId="77777777" w:rsidTr="00B4571F">
        <w:trPr>
          <w:trHeight w:val="240"/>
        </w:trPr>
        <w:tc>
          <w:tcPr>
            <w:tcW w:w="1453" w:type="pct"/>
            <w:tcBorders>
              <w:top w:val="nil"/>
              <w:left w:val="single" w:sz="4" w:space="0" w:color="auto"/>
              <w:bottom w:val="nil"/>
              <w:right w:val="nil"/>
            </w:tcBorders>
            <w:noWrap/>
            <w:vAlign w:val="bottom"/>
            <w:hideMark/>
          </w:tcPr>
          <w:p w14:paraId="59C0AD05"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Market</w:t>
            </w:r>
          </w:p>
        </w:tc>
        <w:tc>
          <w:tcPr>
            <w:tcW w:w="901" w:type="pct"/>
            <w:tcBorders>
              <w:top w:val="nil"/>
              <w:left w:val="nil"/>
              <w:bottom w:val="nil"/>
              <w:right w:val="nil"/>
            </w:tcBorders>
            <w:noWrap/>
            <w:vAlign w:val="bottom"/>
            <w:hideMark/>
          </w:tcPr>
          <w:p w14:paraId="4FBA8EFA"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100.0 </w:t>
            </w:r>
          </w:p>
        </w:tc>
        <w:tc>
          <w:tcPr>
            <w:tcW w:w="901" w:type="pct"/>
            <w:tcBorders>
              <w:top w:val="nil"/>
              <w:left w:val="nil"/>
              <w:bottom w:val="nil"/>
              <w:right w:val="nil"/>
            </w:tcBorders>
            <w:noWrap/>
            <w:vAlign w:val="bottom"/>
            <w:hideMark/>
          </w:tcPr>
          <w:p w14:paraId="430BF7D1"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111.1 </w:t>
            </w:r>
          </w:p>
        </w:tc>
        <w:tc>
          <w:tcPr>
            <w:tcW w:w="901" w:type="pct"/>
            <w:tcBorders>
              <w:top w:val="nil"/>
              <w:left w:val="nil"/>
              <w:bottom w:val="nil"/>
              <w:right w:val="nil"/>
            </w:tcBorders>
            <w:noWrap/>
            <w:vAlign w:val="bottom"/>
            <w:hideMark/>
          </w:tcPr>
          <w:p w14:paraId="3D2EF574"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(11.1)</w:t>
            </w:r>
          </w:p>
        </w:tc>
        <w:tc>
          <w:tcPr>
            <w:tcW w:w="843" w:type="pct"/>
            <w:tcBorders>
              <w:top w:val="nil"/>
              <w:left w:val="nil"/>
              <w:bottom w:val="nil"/>
              <w:right w:val="single" w:sz="4" w:space="0" w:color="auto"/>
            </w:tcBorders>
            <w:noWrap/>
            <w:vAlign w:val="bottom"/>
            <w:hideMark/>
          </w:tcPr>
          <w:p w14:paraId="4D8B2587"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-10.0%</w:t>
            </w:r>
          </w:p>
        </w:tc>
      </w:tr>
      <w:tr w:rsidR="00B4571F" w:rsidRPr="00B4571F" w14:paraId="188615F0" w14:textId="77777777" w:rsidTr="00B4571F">
        <w:trPr>
          <w:trHeight w:val="240"/>
        </w:trPr>
        <w:tc>
          <w:tcPr>
            <w:tcW w:w="1453" w:type="pct"/>
            <w:tcBorders>
              <w:top w:val="nil"/>
              <w:left w:val="single" w:sz="4" w:space="0" w:color="auto"/>
              <w:bottom w:val="nil"/>
              <w:right w:val="nil"/>
            </w:tcBorders>
            <w:noWrap/>
            <w:vAlign w:val="bottom"/>
            <w:hideMark/>
          </w:tcPr>
          <w:p w14:paraId="165A452C"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Counterparty Default</w:t>
            </w:r>
          </w:p>
        </w:tc>
        <w:tc>
          <w:tcPr>
            <w:tcW w:w="901" w:type="pct"/>
            <w:tcBorders>
              <w:top w:val="nil"/>
              <w:left w:val="nil"/>
              <w:bottom w:val="nil"/>
              <w:right w:val="nil"/>
            </w:tcBorders>
            <w:noWrap/>
            <w:vAlign w:val="bottom"/>
            <w:hideMark/>
          </w:tcPr>
          <w:p w14:paraId="201C750A"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50.5 </w:t>
            </w:r>
          </w:p>
        </w:tc>
        <w:tc>
          <w:tcPr>
            <w:tcW w:w="901" w:type="pct"/>
            <w:tcBorders>
              <w:top w:val="nil"/>
              <w:left w:val="nil"/>
              <w:bottom w:val="nil"/>
              <w:right w:val="nil"/>
            </w:tcBorders>
            <w:noWrap/>
            <w:vAlign w:val="bottom"/>
            <w:hideMark/>
          </w:tcPr>
          <w:p w14:paraId="7EC2C21E"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48.4 </w:t>
            </w:r>
          </w:p>
        </w:tc>
        <w:tc>
          <w:tcPr>
            <w:tcW w:w="901" w:type="pct"/>
            <w:tcBorders>
              <w:top w:val="nil"/>
              <w:left w:val="nil"/>
              <w:bottom w:val="nil"/>
              <w:right w:val="nil"/>
            </w:tcBorders>
            <w:noWrap/>
            <w:vAlign w:val="bottom"/>
            <w:hideMark/>
          </w:tcPr>
          <w:p w14:paraId="109DEFAA"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2.1 </w:t>
            </w:r>
          </w:p>
        </w:tc>
        <w:tc>
          <w:tcPr>
            <w:tcW w:w="843" w:type="pct"/>
            <w:tcBorders>
              <w:top w:val="nil"/>
              <w:left w:val="nil"/>
              <w:bottom w:val="nil"/>
              <w:right w:val="single" w:sz="4" w:space="0" w:color="auto"/>
            </w:tcBorders>
            <w:noWrap/>
            <w:vAlign w:val="bottom"/>
            <w:hideMark/>
          </w:tcPr>
          <w:p w14:paraId="15FFFC7D"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4.3%</w:t>
            </w:r>
          </w:p>
        </w:tc>
      </w:tr>
      <w:tr w:rsidR="00B4571F" w:rsidRPr="00B4571F" w14:paraId="3F8B90A7" w14:textId="77777777" w:rsidTr="00B4571F">
        <w:trPr>
          <w:trHeight w:val="240"/>
        </w:trPr>
        <w:tc>
          <w:tcPr>
            <w:tcW w:w="1453" w:type="pct"/>
            <w:tcBorders>
              <w:top w:val="nil"/>
              <w:left w:val="single" w:sz="4" w:space="0" w:color="auto"/>
              <w:bottom w:val="nil"/>
              <w:right w:val="nil"/>
            </w:tcBorders>
            <w:noWrap/>
            <w:vAlign w:val="bottom"/>
            <w:hideMark/>
          </w:tcPr>
          <w:p w14:paraId="6B045973"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Life</w:t>
            </w:r>
          </w:p>
        </w:tc>
        <w:tc>
          <w:tcPr>
            <w:tcW w:w="901" w:type="pct"/>
            <w:tcBorders>
              <w:top w:val="nil"/>
              <w:left w:val="nil"/>
              <w:bottom w:val="nil"/>
              <w:right w:val="nil"/>
            </w:tcBorders>
            <w:noWrap/>
            <w:vAlign w:val="bottom"/>
            <w:hideMark/>
          </w:tcPr>
          <w:p w14:paraId="20E872A3"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80.3 </w:t>
            </w:r>
          </w:p>
        </w:tc>
        <w:tc>
          <w:tcPr>
            <w:tcW w:w="901" w:type="pct"/>
            <w:tcBorders>
              <w:top w:val="nil"/>
              <w:left w:val="nil"/>
              <w:bottom w:val="nil"/>
              <w:right w:val="nil"/>
            </w:tcBorders>
            <w:noWrap/>
            <w:vAlign w:val="bottom"/>
            <w:hideMark/>
          </w:tcPr>
          <w:p w14:paraId="10829363"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69.9 </w:t>
            </w:r>
          </w:p>
        </w:tc>
        <w:tc>
          <w:tcPr>
            <w:tcW w:w="901" w:type="pct"/>
            <w:tcBorders>
              <w:top w:val="nil"/>
              <w:left w:val="nil"/>
              <w:bottom w:val="nil"/>
              <w:right w:val="nil"/>
            </w:tcBorders>
            <w:noWrap/>
            <w:vAlign w:val="bottom"/>
            <w:hideMark/>
          </w:tcPr>
          <w:p w14:paraId="7C5CEAF8"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10.4 </w:t>
            </w:r>
          </w:p>
        </w:tc>
        <w:tc>
          <w:tcPr>
            <w:tcW w:w="843" w:type="pct"/>
            <w:tcBorders>
              <w:top w:val="nil"/>
              <w:left w:val="nil"/>
              <w:bottom w:val="nil"/>
              <w:right w:val="single" w:sz="4" w:space="0" w:color="auto"/>
            </w:tcBorders>
            <w:noWrap/>
            <w:vAlign w:val="bottom"/>
            <w:hideMark/>
          </w:tcPr>
          <w:p w14:paraId="13AF1A2B"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14.9%</w:t>
            </w:r>
          </w:p>
        </w:tc>
      </w:tr>
      <w:tr w:rsidR="00B4571F" w:rsidRPr="00B4571F" w14:paraId="3ACA6030" w14:textId="77777777" w:rsidTr="00B4571F">
        <w:trPr>
          <w:trHeight w:val="240"/>
        </w:trPr>
        <w:tc>
          <w:tcPr>
            <w:tcW w:w="1453" w:type="pct"/>
            <w:tcBorders>
              <w:top w:val="nil"/>
              <w:left w:val="single" w:sz="4" w:space="0" w:color="auto"/>
              <w:bottom w:val="nil"/>
              <w:right w:val="nil"/>
            </w:tcBorders>
            <w:noWrap/>
            <w:vAlign w:val="bottom"/>
            <w:hideMark/>
          </w:tcPr>
          <w:p w14:paraId="683936E0"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Health</w:t>
            </w:r>
          </w:p>
        </w:tc>
        <w:tc>
          <w:tcPr>
            <w:tcW w:w="901" w:type="pct"/>
            <w:tcBorders>
              <w:top w:val="nil"/>
              <w:left w:val="nil"/>
              <w:bottom w:val="nil"/>
              <w:right w:val="nil"/>
            </w:tcBorders>
            <w:noWrap/>
            <w:vAlign w:val="bottom"/>
            <w:hideMark/>
          </w:tcPr>
          <w:p w14:paraId="75FB11E7"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55.3 </w:t>
            </w:r>
          </w:p>
        </w:tc>
        <w:tc>
          <w:tcPr>
            <w:tcW w:w="901" w:type="pct"/>
            <w:tcBorders>
              <w:top w:val="nil"/>
              <w:left w:val="nil"/>
              <w:bottom w:val="nil"/>
              <w:right w:val="nil"/>
            </w:tcBorders>
            <w:noWrap/>
            <w:vAlign w:val="bottom"/>
            <w:hideMark/>
          </w:tcPr>
          <w:p w14:paraId="3BEAC5A7"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20.1 </w:t>
            </w:r>
          </w:p>
        </w:tc>
        <w:tc>
          <w:tcPr>
            <w:tcW w:w="901" w:type="pct"/>
            <w:tcBorders>
              <w:top w:val="nil"/>
              <w:left w:val="nil"/>
              <w:bottom w:val="nil"/>
              <w:right w:val="nil"/>
            </w:tcBorders>
            <w:noWrap/>
            <w:vAlign w:val="bottom"/>
            <w:hideMark/>
          </w:tcPr>
          <w:p w14:paraId="38AD5F86"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35.2 </w:t>
            </w:r>
          </w:p>
        </w:tc>
        <w:tc>
          <w:tcPr>
            <w:tcW w:w="843" w:type="pct"/>
            <w:tcBorders>
              <w:top w:val="nil"/>
              <w:left w:val="nil"/>
              <w:bottom w:val="nil"/>
              <w:right w:val="single" w:sz="4" w:space="0" w:color="auto"/>
            </w:tcBorders>
            <w:noWrap/>
            <w:vAlign w:val="bottom"/>
            <w:hideMark/>
          </w:tcPr>
          <w:p w14:paraId="6E3678EF"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175.1%</w:t>
            </w:r>
          </w:p>
        </w:tc>
      </w:tr>
      <w:tr w:rsidR="00B4571F" w:rsidRPr="00B4571F" w14:paraId="2F9F98C3" w14:textId="77777777" w:rsidTr="00B4571F">
        <w:trPr>
          <w:trHeight w:val="240"/>
        </w:trPr>
        <w:tc>
          <w:tcPr>
            <w:tcW w:w="1453" w:type="pct"/>
            <w:tcBorders>
              <w:top w:val="nil"/>
              <w:left w:val="single" w:sz="4" w:space="0" w:color="auto"/>
              <w:bottom w:val="nil"/>
              <w:right w:val="nil"/>
            </w:tcBorders>
            <w:noWrap/>
            <w:vAlign w:val="bottom"/>
            <w:hideMark/>
          </w:tcPr>
          <w:p w14:paraId="00D8D28E"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Diversification</w:t>
            </w:r>
          </w:p>
        </w:tc>
        <w:tc>
          <w:tcPr>
            <w:tcW w:w="901" w:type="pct"/>
            <w:tcBorders>
              <w:top w:val="nil"/>
              <w:left w:val="nil"/>
              <w:bottom w:val="nil"/>
              <w:right w:val="nil"/>
            </w:tcBorders>
            <w:noWrap/>
            <w:vAlign w:val="bottom"/>
            <w:hideMark/>
          </w:tcPr>
          <w:p w14:paraId="19123F25"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(57.2)</w:t>
            </w:r>
          </w:p>
        </w:tc>
        <w:tc>
          <w:tcPr>
            <w:tcW w:w="901" w:type="pct"/>
            <w:tcBorders>
              <w:top w:val="nil"/>
              <w:left w:val="nil"/>
              <w:bottom w:val="nil"/>
              <w:right w:val="nil"/>
            </w:tcBorders>
            <w:noWrap/>
            <w:vAlign w:val="bottom"/>
            <w:hideMark/>
          </w:tcPr>
          <w:p w14:paraId="6C0D32B3"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(62.4)</w:t>
            </w:r>
          </w:p>
        </w:tc>
        <w:tc>
          <w:tcPr>
            <w:tcW w:w="901" w:type="pct"/>
            <w:tcBorders>
              <w:top w:val="nil"/>
              <w:left w:val="nil"/>
              <w:bottom w:val="nil"/>
              <w:right w:val="nil"/>
            </w:tcBorders>
            <w:noWrap/>
            <w:vAlign w:val="bottom"/>
            <w:hideMark/>
          </w:tcPr>
          <w:p w14:paraId="515EF493"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5.2 </w:t>
            </w:r>
          </w:p>
        </w:tc>
        <w:tc>
          <w:tcPr>
            <w:tcW w:w="843" w:type="pct"/>
            <w:tcBorders>
              <w:top w:val="nil"/>
              <w:left w:val="nil"/>
              <w:bottom w:val="nil"/>
              <w:right w:val="single" w:sz="4" w:space="0" w:color="auto"/>
            </w:tcBorders>
            <w:noWrap/>
            <w:vAlign w:val="bottom"/>
            <w:hideMark/>
          </w:tcPr>
          <w:p w14:paraId="42D99115"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-8.3%</w:t>
            </w:r>
          </w:p>
        </w:tc>
      </w:tr>
      <w:tr w:rsidR="00B4571F" w:rsidRPr="00B4571F" w14:paraId="5692F76A" w14:textId="77777777" w:rsidTr="00B4571F">
        <w:trPr>
          <w:trHeight w:val="240"/>
        </w:trPr>
        <w:tc>
          <w:tcPr>
            <w:tcW w:w="1453" w:type="pct"/>
            <w:tcBorders>
              <w:top w:val="single" w:sz="4" w:space="0" w:color="auto"/>
              <w:left w:val="single" w:sz="4" w:space="0" w:color="auto"/>
              <w:bottom w:val="single" w:sz="4" w:space="0" w:color="auto"/>
              <w:right w:val="nil"/>
            </w:tcBorders>
            <w:shd w:val="clear" w:color="000000" w:fill="BDD7EE"/>
            <w:noWrap/>
            <w:vAlign w:val="bottom"/>
            <w:hideMark/>
          </w:tcPr>
          <w:p w14:paraId="18B44B48" w14:textId="77777777" w:rsidR="00B4571F" w:rsidRPr="00B4571F" w:rsidRDefault="00B4571F" w:rsidP="00B4571F">
            <w:pPr>
              <w:spacing w:before="0" w:after="0" w:line="240" w:lineRule="auto"/>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Basic SCR</w:t>
            </w:r>
          </w:p>
        </w:tc>
        <w:tc>
          <w:tcPr>
            <w:tcW w:w="901" w:type="pct"/>
            <w:tcBorders>
              <w:top w:val="single" w:sz="4" w:space="0" w:color="auto"/>
              <w:left w:val="nil"/>
              <w:bottom w:val="single" w:sz="4" w:space="0" w:color="auto"/>
              <w:right w:val="nil"/>
            </w:tcBorders>
            <w:shd w:val="clear" w:color="000000" w:fill="BDD7EE"/>
            <w:noWrap/>
            <w:vAlign w:val="bottom"/>
            <w:hideMark/>
          </w:tcPr>
          <w:p w14:paraId="57B8C5D9"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228.9 </w:t>
            </w:r>
          </w:p>
        </w:tc>
        <w:tc>
          <w:tcPr>
            <w:tcW w:w="901" w:type="pct"/>
            <w:tcBorders>
              <w:top w:val="single" w:sz="4" w:space="0" w:color="auto"/>
              <w:left w:val="nil"/>
              <w:bottom w:val="single" w:sz="4" w:space="0" w:color="auto"/>
              <w:right w:val="nil"/>
            </w:tcBorders>
            <w:shd w:val="clear" w:color="000000" w:fill="BDD7EE"/>
            <w:noWrap/>
            <w:vAlign w:val="bottom"/>
            <w:hideMark/>
          </w:tcPr>
          <w:p w14:paraId="668AF49D"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187.1 </w:t>
            </w:r>
          </w:p>
        </w:tc>
        <w:tc>
          <w:tcPr>
            <w:tcW w:w="901" w:type="pct"/>
            <w:tcBorders>
              <w:top w:val="single" w:sz="4" w:space="0" w:color="auto"/>
              <w:left w:val="nil"/>
              <w:bottom w:val="single" w:sz="4" w:space="0" w:color="auto"/>
              <w:right w:val="nil"/>
            </w:tcBorders>
            <w:shd w:val="clear" w:color="000000" w:fill="BDD7EE"/>
            <w:noWrap/>
            <w:vAlign w:val="bottom"/>
            <w:hideMark/>
          </w:tcPr>
          <w:p w14:paraId="7BD7229E"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41.8 </w:t>
            </w:r>
          </w:p>
        </w:tc>
        <w:tc>
          <w:tcPr>
            <w:tcW w:w="843" w:type="pct"/>
            <w:tcBorders>
              <w:top w:val="single" w:sz="4" w:space="0" w:color="auto"/>
              <w:left w:val="nil"/>
              <w:bottom w:val="single" w:sz="4" w:space="0" w:color="auto"/>
              <w:right w:val="single" w:sz="4" w:space="0" w:color="auto"/>
            </w:tcBorders>
            <w:shd w:val="clear" w:color="000000" w:fill="BDD7EE"/>
            <w:noWrap/>
            <w:vAlign w:val="bottom"/>
            <w:hideMark/>
          </w:tcPr>
          <w:p w14:paraId="075803B5"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22.3%</w:t>
            </w:r>
          </w:p>
        </w:tc>
      </w:tr>
      <w:tr w:rsidR="00B4571F" w:rsidRPr="00B4571F" w14:paraId="5166F331" w14:textId="77777777" w:rsidTr="00B4571F">
        <w:trPr>
          <w:trHeight w:val="240"/>
        </w:trPr>
        <w:tc>
          <w:tcPr>
            <w:tcW w:w="1453" w:type="pct"/>
            <w:tcBorders>
              <w:top w:val="nil"/>
              <w:left w:val="single" w:sz="4" w:space="0" w:color="auto"/>
              <w:bottom w:val="nil"/>
              <w:right w:val="nil"/>
            </w:tcBorders>
            <w:noWrap/>
            <w:vAlign w:val="bottom"/>
            <w:hideMark/>
          </w:tcPr>
          <w:p w14:paraId="5F2A9458"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Operational Risk</w:t>
            </w:r>
          </w:p>
        </w:tc>
        <w:tc>
          <w:tcPr>
            <w:tcW w:w="901" w:type="pct"/>
            <w:tcBorders>
              <w:top w:val="nil"/>
              <w:left w:val="nil"/>
              <w:bottom w:val="nil"/>
              <w:right w:val="nil"/>
            </w:tcBorders>
            <w:noWrap/>
            <w:vAlign w:val="bottom"/>
            <w:hideMark/>
          </w:tcPr>
          <w:p w14:paraId="7F89D0F4"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19.9 </w:t>
            </w:r>
          </w:p>
        </w:tc>
        <w:tc>
          <w:tcPr>
            <w:tcW w:w="901" w:type="pct"/>
            <w:tcBorders>
              <w:top w:val="nil"/>
              <w:left w:val="nil"/>
              <w:bottom w:val="nil"/>
              <w:right w:val="nil"/>
            </w:tcBorders>
            <w:noWrap/>
            <w:vAlign w:val="bottom"/>
            <w:hideMark/>
          </w:tcPr>
          <w:p w14:paraId="65220A70"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17.8 </w:t>
            </w:r>
          </w:p>
        </w:tc>
        <w:tc>
          <w:tcPr>
            <w:tcW w:w="901" w:type="pct"/>
            <w:tcBorders>
              <w:top w:val="nil"/>
              <w:left w:val="nil"/>
              <w:bottom w:val="nil"/>
              <w:right w:val="nil"/>
            </w:tcBorders>
            <w:noWrap/>
            <w:vAlign w:val="bottom"/>
            <w:hideMark/>
          </w:tcPr>
          <w:p w14:paraId="65F756CF"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2.1 </w:t>
            </w:r>
          </w:p>
        </w:tc>
        <w:tc>
          <w:tcPr>
            <w:tcW w:w="843" w:type="pct"/>
            <w:tcBorders>
              <w:top w:val="nil"/>
              <w:left w:val="nil"/>
              <w:bottom w:val="nil"/>
              <w:right w:val="single" w:sz="4" w:space="0" w:color="auto"/>
            </w:tcBorders>
            <w:noWrap/>
            <w:vAlign w:val="bottom"/>
            <w:hideMark/>
          </w:tcPr>
          <w:p w14:paraId="5CCA2128"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11.8%</w:t>
            </w:r>
          </w:p>
        </w:tc>
      </w:tr>
      <w:tr w:rsidR="00B4571F" w:rsidRPr="00B4571F" w14:paraId="18251C34" w14:textId="77777777" w:rsidTr="00B4571F">
        <w:trPr>
          <w:trHeight w:val="240"/>
        </w:trPr>
        <w:tc>
          <w:tcPr>
            <w:tcW w:w="1453" w:type="pct"/>
            <w:tcBorders>
              <w:top w:val="nil"/>
              <w:left w:val="single" w:sz="4" w:space="0" w:color="auto"/>
              <w:bottom w:val="nil"/>
              <w:right w:val="nil"/>
            </w:tcBorders>
            <w:noWrap/>
            <w:vAlign w:val="bottom"/>
            <w:hideMark/>
          </w:tcPr>
          <w:p w14:paraId="758C7BB5" w14:textId="77777777" w:rsidR="00B4571F" w:rsidRPr="00B4571F" w:rsidRDefault="00B4571F" w:rsidP="00B4571F">
            <w:pPr>
              <w:spacing w:before="0" w:after="0" w:line="240" w:lineRule="auto"/>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Deferred Tax Adjustments</w:t>
            </w:r>
          </w:p>
        </w:tc>
        <w:tc>
          <w:tcPr>
            <w:tcW w:w="901" w:type="pct"/>
            <w:tcBorders>
              <w:top w:val="nil"/>
              <w:left w:val="nil"/>
              <w:bottom w:val="nil"/>
              <w:right w:val="nil"/>
            </w:tcBorders>
            <w:noWrap/>
            <w:vAlign w:val="bottom"/>
            <w:hideMark/>
          </w:tcPr>
          <w:p w14:paraId="2972D7F3"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(31.1)</w:t>
            </w:r>
          </w:p>
        </w:tc>
        <w:tc>
          <w:tcPr>
            <w:tcW w:w="901" w:type="pct"/>
            <w:tcBorders>
              <w:top w:val="nil"/>
              <w:left w:val="nil"/>
              <w:bottom w:val="nil"/>
              <w:right w:val="nil"/>
            </w:tcBorders>
            <w:noWrap/>
            <w:vAlign w:val="bottom"/>
            <w:hideMark/>
          </w:tcPr>
          <w:p w14:paraId="35D34F3C"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(25.6)</w:t>
            </w:r>
          </w:p>
        </w:tc>
        <w:tc>
          <w:tcPr>
            <w:tcW w:w="901" w:type="pct"/>
            <w:tcBorders>
              <w:top w:val="nil"/>
              <w:left w:val="nil"/>
              <w:bottom w:val="nil"/>
              <w:right w:val="nil"/>
            </w:tcBorders>
            <w:noWrap/>
            <w:vAlign w:val="bottom"/>
            <w:hideMark/>
          </w:tcPr>
          <w:p w14:paraId="06936EFE"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 xml:space="preserve">                           (5.5)</w:t>
            </w:r>
          </w:p>
        </w:tc>
        <w:tc>
          <w:tcPr>
            <w:tcW w:w="843" w:type="pct"/>
            <w:tcBorders>
              <w:top w:val="nil"/>
              <w:left w:val="nil"/>
              <w:bottom w:val="nil"/>
              <w:right w:val="single" w:sz="4" w:space="0" w:color="auto"/>
            </w:tcBorders>
            <w:noWrap/>
            <w:vAlign w:val="bottom"/>
            <w:hideMark/>
          </w:tcPr>
          <w:p w14:paraId="6115B09B" w14:textId="77777777" w:rsidR="00B4571F" w:rsidRPr="00B4571F" w:rsidRDefault="00B4571F" w:rsidP="00B4571F">
            <w:pPr>
              <w:spacing w:before="0" w:after="0" w:line="240" w:lineRule="auto"/>
              <w:jc w:val="right"/>
              <w:rPr>
                <w:rFonts w:ascii="Calibri" w:eastAsia="Times New Roman" w:hAnsi="Calibri" w:cs="Calibri"/>
                <w:color w:val="000000"/>
                <w:sz w:val="18"/>
                <w:szCs w:val="18"/>
                <w:lang/>
              </w:rPr>
            </w:pPr>
            <w:r w:rsidRPr="00B4571F">
              <w:rPr>
                <w:rFonts w:ascii="Calibri" w:eastAsia="Times New Roman" w:hAnsi="Calibri" w:cs="Calibri"/>
                <w:color w:val="000000"/>
                <w:sz w:val="18"/>
                <w:szCs w:val="18"/>
                <w:lang/>
              </w:rPr>
              <w:t>21.4%</w:t>
            </w:r>
          </w:p>
        </w:tc>
      </w:tr>
      <w:tr w:rsidR="00B4571F" w:rsidRPr="00B4571F" w14:paraId="5F924189" w14:textId="77777777" w:rsidTr="00B4571F">
        <w:trPr>
          <w:trHeight w:val="240"/>
        </w:trPr>
        <w:tc>
          <w:tcPr>
            <w:tcW w:w="1453" w:type="pct"/>
            <w:tcBorders>
              <w:top w:val="single" w:sz="4" w:space="0" w:color="auto"/>
              <w:left w:val="single" w:sz="4" w:space="0" w:color="auto"/>
              <w:bottom w:val="single" w:sz="4" w:space="0" w:color="auto"/>
              <w:right w:val="nil"/>
            </w:tcBorders>
            <w:shd w:val="clear" w:color="000000" w:fill="BDD7EE"/>
            <w:noWrap/>
            <w:vAlign w:val="bottom"/>
            <w:hideMark/>
          </w:tcPr>
          <w:p w14:paraId="62B7ADF6" w14:textId="77777777" w:rsidR="00B4571F" w:rsidRPr="00B4571F" w:rsidRDefault="00B4571F" w:rsidP="00B4571F">
            <w:pPr>
              <w:spacing w:before="0" w:after="0" w:line="240" w:lineRule="auto"/>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Total SCR</w:t>
            </w:r>
          </w:p>
        </w:tc>
        <w:tc>
          <w:tcPr>
            <w:tcW w:w="901" w:type="pct"/>
            <w:tcBorders>
              <w:top w:val="single" w:sz="4" w:space="0" w:color="auto"/>
              <w:left w:val="nil"/>
              <w:bottom w:val="single" w:sz="4" w:space="0" w:color="auto"/>
              <w:right w:val="nil"/>
            </w:tcBorders>
            <w:shd w:val="clear" w:color="000000" w:fill="BDD7EE"/>
            <w:noWrap/>
            <w:vAlign w:val="bottom"/>
            <w:hideMark/>
          </w:tcPr>
          <w:p w14:paraId="3B99A39D"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217.7 </w:t>
            </w:r>
          </w:p>
        </w:tc>
        <w:tc>
          <w:tcPr>
            <w:tcW w:w="901" w:type="pct"/>
            <w:tcBorders>
              <w:top w:val="single" w:sz="4" w:space="0" w:color="auto"/>
              <w:left w:val="nil"/>
              <w:bottom w:val="single" w:sz="4" w:space="0" w:color="auto"/>
              <w:right w:val="nil"/>
            </w:tcBorders>
            <w:shd w:val="clear" w:color="000000" w:fill="BDD7EE"/>
            <w:noWrap/>
            <w:vAlign w:val="bottom"/>
            <w:hideMark/>
          </w:tcPr>
          <w:p w14:paraId="1026916F"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179.3 </w:t>
            </w:r>
          </w:p>
        </w:tc>
        <w:tc>
          <w:tcPr>
            <w:tcW w:w="901" w:type="pct"/>
            <w:tcBorders>
              <w:top w:val="single" w:sz="4" w:space="0" w:color="auto"/>
              <w:left w:val="nil"/>
              <w:bottom w:val="single" w:sz="4" w:space="0" w:color="auto"/>
              <w:right w:val="nil"/>
            </w:tcBorders>
            <w:shd w:val="clear" w:color="000000" w:fill="BDD7EE"/>
            <w:noWrap/>
            <w:vAlign w:val="bottom"/>
            <w:hideMark/>
          </w:tcPr>
          <w:p w14:paraId="32A6092C"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38.4 </w:t>
            </w:r>
          </w:p>
        </w:tc>
        <w:tc>
          <w:tcPr>
            <w:tcW w:w="843" w:type="pct"/>
            <w:tcBorders>
              <w:top w:val="single" w:sz="4" w:space="0" w:color="auto"/>
              <w:left w:val="nil"/>
              <w:bottom w:val="single" w:sz="4" w:space="0" w:color="auto"/>
              <w:right w:val="single" w:sz="4" w:space="0" w:color="auto"/>
            </w:tcBorders>
            <w:shd w:val="clear" w:color="000000" w:fill="BDD7EE"/>
            <w:noWrap/>
            <w:vAlign w:val="bottom"/>
            <w:hideMark/>
          </w:tcPr>
          <w:p w14:paraId="26BA9927"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21.4%</w:t>
            </w:r>
          </w:p>
        </w:tc>
      </w:tr>
      <w:tr w:rsidR="00B4571F" w:rsidRPr="00B4571F" w14:paraId="2C33360F" w14:textId="77777777" w:rsidTr="00B4571F">
        <w:trPr>
          <w:trHeight w:val="240"/>
        </w:trPr>
        <w:tc>
          <w:tcPr>
            <w:tcW w:w="1453" w:type="pct"/>
            <w:tcBorders>
              <w:top w:val="nil"/>
              <w:left w:val="single" w:sz="4" w:space="0" w:color="auto"/>
              <w:bottom w:val="single" w:sz="4" w:space="0" w:color="auto"/>
              <w:right w:val="nil"/>
            </w:tcBorders>
            <w:shd w:val="clear" w:color="000000" w:fill="BDD7EE"/>
            <w:noWrap/>
            <w:vAlign w:val="bottom"/>
            <w:hideMark/>
          </w:tcPr>
          <w:p w14:paraId="08E912D8" w14:textId="77777777" w:rsidR="00B4571F" w:rsidRPr="00B4571F" w:rsidRDefault="00B4571F" w:rsidP="00B4571F">
            <w:pPr>
              <w:spacing w:before="0" w:after="0" w:line="240" w:lineRule="auto"/>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Own Funds</w:t>
            </w:r>
          </w:p>
        </w:tc>
        <w:tc>
          <w:tcPr>
            <w:tcW w:w="901" w:type="pct"/>
            <w:tcBorders>
              <w:top w:val="nil"/>
              <w:left w:val="nil"/>
              <w:bottom w:val="single" w:sz="4" w:space="0" w:color="auto"/>
              <w:right w:val="nil"/>
            </w:tcBorders>
            <w:shd w:val="clear" w:color="000000" w:fill="BDD7EE"/>
            <w:noWrap/>
            <w:vAlign w:val="bottom"/>
            <w:hideMark/>
          </w:tcPr>
          <w:p w14:paraId="7084956C"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300.5 </w:t>
            </w:r>
          </w:p>
        </w:tc>
        <w:tc>
          <w:tcPr>
            <w:tcW w:w="901" w:type="pct"/>
            <w:tcBorders>
              <w:top w:val="nil"/>
              <w:left w:val="nil"/>
              <w:bottom w:val="single" w:sz="4" w:space="0" w:color="auto"/>
              <w:right w:val="nil"/>
            </w:tcBorders>
            <w:shd w:val="clear" w:color="000000" w:fill="BDD7EE"/>
            <w:noWrap/>
            <w:vAlign w:val="bottom"/>
            <w:hideMark/>
          </w:tcPr>
          <w:p w14:paraId="29654FD7"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270.4 </w:t>
            </w:r>
          </w:p>
        </w:tc>
        <w:tc>
          <w:tcPr>
            <w:tcW w:w="901" w:type="pct"/>
            <w:tcBorders>
              <w:top w:val="nil"/>
              <w:left w:val="nil"/>
              <w:bottom w:val="single" w:sz="4" w:space="0" w:color="auto"/>
              <w:right w:val="nil"/>
            </w:tcBorders>
            <w:shd w:val="clear" w:color="000000" w:fill="BDD7EE"/>
            <w:noWrap/>
            <w:vAlign w:val="bottom"/>
            <w:hideMark/>
          </w:tcPr>
          <w:p w14:paraId="2EB4AB78"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 xml:space="preserve">                           30.1 </w:t>
            </w:r>
          </w:p>
        </w:tc>
        <w:tc>
          <w:tcPr>
            <w:tcW w:w="843" w:type="pct"/>
            <w:tcBorders>
              <w:top w:val="nil"/>
              <w:left w:val="nil"/>
              <w:bottom w:val="single" w:sz="4" w:space="0" w:color="auto"/>
              <w:right w:val="single" w:sz="4" w:space="0" w:color="auto"/>
            </w:tcBorders>
            <w:shd w:val="clear" w:color="000000" w:fill="BDD7EE"/>
            <w:noWrap/>
            <w:vAlign w:val="bottom"/>
            <w:hideMark/>
          </w:tcPr>
          <w:p w14:paraId="6422F58E"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11.1%</w:t>
            </w:r>
          </w:p>
        </w:tc>
      </w:tr>
      <w:tr w:rsidR="00B4571F" w:rsidRPr="00B4571F" w14:paraId="1B348825" w14:textId="77777777" w:rsidTr="00B4571F">
        <w:trPr>
          <w:trHeight w:val="240"/>
        </w:trPr>
        <w:tc>
          <w:tcPr>
            <w:tcW w:w="1453" w:type="pct"/>
            <w:tcBorders>
              <w:top w:val="nil"/>
              <w:left w:val="single" w:sz="4" w:space="0" w:color="auto"/>
              <w:bottom w:val="single" w:sz="4" w:space="0" w:color="auto"/>
              <w:right w:val="nil"/>
            </w:tcBorders>
            <w:shd w:val="clear" w:color="000000" w:fill="BDD7EE"/>
            <w:noWrap/>
            <w:vAlign w:val="bottom"/>
            <w:hideMark/>
          </w:tcPr>
          <w:p w14:paraId="43AD9F63" w14:textId="77777777" w:rsidR="00B4571F" w:rsidRPr="00B4571F" w:rsidRDefault="00B4571F" w:rsidP="00B4571F">
            <w:pPr>
              <w:spacing w:before="0" w:after="0" w:line="240" w:lineRule="auto"/>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Solvency Ratio</w:t>
            </w:r>
          </w:p>
        </w:tc>
        <w:tc>
          <w:tcPr>
            <w:tcW w:w="901" w:type="pct"/>
            <w:tcBorders>
              <w:top w:val="nil"/>
              <w:left w:val="nil"/>
              <w:bottom w:val="single" w:sz="4" w:space="0" w:color="auto"/>
              <w:right w:val="nil"/>
            </w:tcBorders>
            <w:shd w:val="clear" w:color="000000" w:fill="BDD7EE"/>
            <w:noWrap/>
            <w:vAlign w:val="bottom"/>
            <w:hideMark/>
          </w:tcPr>
          <w:p w14:paraId="76C86CCE"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138.0%</w:t>
            </w:r>
          </w:p>
        </w:tc>
        <w:tc>
          <w:tcPr>
            <w:tcW w:w="901" w:type="pct"/>
            <w:tcBorders>
              <w:top w:val="nil"/>
              <w:left w:val="nil"/>
              <w:bottom w:val="single" w:sz="4" w:space="0" w:color="auto"/>
              <w:right w:val="nil"/>
            </w:tcBorders>
            <w:shd w:val="clear" w:color="000000" w:fill="BDD7EE"/>
            <w:noWrap/>
            <w:vAlign w:val="bottom"/>
            <w:hideMark/>
          </w:tcPr>
          <w:p w14:paraId="020324DC"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150.8%</w:t>
            </w:r>
          </w:p>
        </w:tc>
        <w:tc>
          <w:tcPr>
            <w:tcW w:w="901" w:type="pct"/>
            <w:tcBorders>
              <w:top w:val="nil"/>
              <w:left w:val="nil"/>
              <w:bottom w:val="single" w:sz="4" w:space="0" w:color="auto"/>
              <w:right w:val="nil"/>
            </w:tcBorders>
            <w:shd w:val="clear" w:color="000000" w:fill="BDD7EE"/>
            <w:noWrap/>
            <w:vAlign w:val="bottom"/>
            <w:hideMark/>
          </w:tcPr>
          <w:p w14:paraId="4DA9AF83"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-12.8%</w:t>
            </w:r>
          </w:p>
        </w:tc>
        <w:tc>
          <w:tcPr>
            <w:tcW w:w="843" w:type="pct"/>
            <w:tcBorders>
              <w:top w:val="nil"/>
              <w:left w:val="nil"/>
              <w:bottom w:val="single" w:sz="4" w:space="0" w:color="auto"/>
              <w:right w:val="single" w:sz="4" w:space="0" w:color="auto"/>
            </w:tcBorders>
            <w:shd w:val="clear" w:color="000000" w:fill="BDD7EE"/>
            <w:noWrap/>
            <w:vAlign w:val="bottom"/>
            <w:hideMark/>
          </w:tcPr>
          <w:p w14:paraId="01BF1926" w14:textId="77777777" w:rsidR="00B4571F" w:rsidRPr="00B4571F" w:rsidRDefault="00B4571F" w:rsidP="00B4571F">
            <w:pPr>
              <w:spacing w:before="0" w:after="0" w:line="240" w:lineRule="auto"/>
              <w:jc w:val="right"/>
              <w:rPr>
                <w:rFonts w:ascii="Calibri" w:eastAsia="Times New Roman" w:hAnsi="Calibri" w:cs="Calibri"/>
                <w:b/>
                <w:bCs/>
                <w:color w:val="000000"/>
                <w:sz w:val="18"/>
                <w:szCs w:val="18"/>
                <w:lang/>
              </w:rPr>
            </w:pPr>
            <w:r w:rsidRPr="00B4571F">
              <w:rPr>
                <w:rFonts w:ascii="Calibri" w:eastAsia="Times New Roman" w:hAnsi="Calibri" w:cs="Calibri"/>
                <w:b/>
                <w:bCs/>
                <w:color w:val="000000"/>
                <w:sz w:val="18"/>
                <w:szCs w:val="18"/>
                <w:lang/>
              </w:rPr>
              <w:t>-8.5%</w:t>
            </w:r>
          </w:p>
        </w:tc>
      </w:tr>
    </w:tbl>
    <w:p w14:paraId="4228DEA3" w14:textId="77777777" w:rsidR="00B4571F" w:rsidRDefault="00B4571F" w:rsidP="002B11CB">
      <w:pPr>
        <w:rPr>
          <w:lang w:val="en-US"/>
        </w:rPr>
      </w:pPr>
    </w:p>
    <w:p w14:paraId="406A12F9" w14:textId="36E67525" w:rsidR="0017523B" w:rsidRDefault="0017523B" w:rsidP="002B11CB">
      <w:pPr>
        <w:rPr>
          <w:lang w:val="en-US"/>
        </w:rPr>
      </w:pPr>
      <w:r>
        <w:rPr>
          <w:lang w:val="en-US"/>
        </w:rPr>
        <w:t>The table shows that:</w:t>
      </w:r>
    </w:p>
    <w:p w14:paraId="7150373D" w14:textId="091E5FA3" w:rsidR="00B4571F" w:rsidRPr="00383A1B" w:rsidRDefault="00B4571F" w:rsidP="00B4571F">
      <w:pPr>
        <w:pStyle w:val="ListParagraph"/>
        <w:numPr>
          <w:ilvl w:val="0"/>
          <w:numId w:val="3"/>
        </w:numPr>
        <w:rPr>
          <w:lang w:val="en-US"/>
        </w:rPr>
      </w:pPr>
      <w:r w:rsidRPr="00383A1B">
        <w:rPr>
          <w:lang w:val="en-US"/>
        </w:rPr>
        <w:t xml:space="preserve">The Total SCR increased by 21.4% from €179.3m to €217.7m since the previous year. The </w:t>
      </w:r>
      <w:r w:rsidR="00383A1B">
        <w:rPr>
          <w:lang w:val="en-US"/>
        </w:rPr>
        <w:t xml:space="preserve">largest contributor to the </w:t>
      </w:r>
      <w:r w:rsidRPr="00383A1B">
        <w:rPr>
          <w:lang w:val="en-US"/>
        </w:rPr>
        <w:t>increase in SCR by €3</w:t>
      </w:r>
      <w:r w:rsidR="00155F41">
        <w:rPr>
          <w:lang w:val="en-US"/>
        </w:rPr>
        <w:t>8.4</w:t>
      </w:r>
      <w:r w:rsidRPr="00383A1B">
        <w:rPr>
          <w:lang w:val="en-US"/>
        </w:rPr>
        <w:t>m is the increase in Health Underwriting Risk by €</w:t>
      </w:r>
      <w:r w:rsidR="00383A1B">
        <w:rPr>
          <w:lang w:val="en-US"/>
        </w:rPr>
        <w:t>3</w:t>
      </w:r>
      <w:r w:rsidR="00155F41">
        <w:rPr>
          <w:lang w:val="en-US"/>
        </w:rPr>
        <w:t>5.2</w:t>
      </w:r>
      <w:r w:rsidRPr="00383A1B">
        <w:rPr>
          <w:lang w:val="en-US"/>
        </w:rPr>
        <w:t>m</w:t>
      </w:r>
    </w:p>
    <w:p w14:paraId="2D64122D" w14:textId="0943D92D" w:rsidR="00B4571F" w:rsidRPr="00B4571F" w:rsidRDefault="00B4571F" w:rsidP="00B4571F">
      <w:pPr>
        <w:pStyle w:val="ListParagraph"/>
        <w:numPr>
          <w:ilvl w:val="0"/>
          <w:numId w:val="3"/>
        </w:numPr>
        <w:rPr>
          <w:lang w:val="en-US"/>
        </w:rPr>
      </w:pPr>
      <w:r w:rsidRPr="00B4571F">
        <w:rPr>
          <w:lang w:val="en-US"/>
        </w:rPr>
        <w:t>The Own Funds increased by 11.1% from €270.4m to €30</w:t>
      </w:r>
      <w:r>
        <w:rPr>
          <w:lang w:val="en-US"/>
        </w:rPr>
        <w:t>.</w:t>
      </w:r>
      <w:r w:rsidRPr="00B4571F">
        <w:rPr>
          <w:lang w:val="en-US"/>
        </w:rPr>
        <w:t xml:space="preserve">0.5m </w:t>
      </w:r>
      <w:proofErr w:type="gramStart"/>
      <w:r w:rsidRPr="00B4571F">
        <w:rPr>
          <w:lang w:val="en-US"/>
        </w:rPr>
        <w:t>since</w:t>
      </w:r>
      <w:proofErr w:type="gramEnd"/>
      <w:r w:rsidRPr="00B4571F">
        <w:rPr>
          <w:lang w:val="en-US"/>
        </w:rPr>
        <w:t xml:space="preserve"> the previous year.</w:t>
      </w:r>
    </w:p>
    <w:p w14:paraId="731A1B4A" w14:textId="77777777" w:rsidR="00B4571F" w:rsidRPr="00B4571F" w:rsidRDefault="00B4571F" w:rsidP="00B4571F">
      <w:pPr>
        <w:pStyle w:val="ListParagraph"/>
        <w:numPr>
          <w:ilvl w:val="0"/>
          <w:numId w:val="3"/>
        </w:numPr>
        <w:rPr>
          <w:lang w:val="en-US"/>
        </w:rPr>
      </w:pPr>
      <w:r w:rsidRPr="00B4571F">
        <w:rPr>
          <w:lang w:val="en-US"/>
        </w:rPr>
        <w:lastRenderedPageBreak/>
        <w:t>The Solvency Ratio decreased by 12.8% from 150.8% to 138.0% since the previous year.</w:t>
      </w:r>
    </w:p>
    <w:p w14:paraId="30B14D17" w14:textId="4BD8F262" w:rsidR="00B4571F" w:rsidRDefault="00B4571F" w:rsidP="00B4571F">
      <w:pPr>
        <w:pStyle w:val="ListParagraph"/>
        <w:numPr>
          <w:ilvl w:val="0"/>
          <w:numId w:val="3"/>
        </w:numPr>
        <w:rPr>
          <w:lang w:val="en-US"/>
        </w:rPr>
      </w:pPr>
      <w:r w:rsidRPr="00B4571F">
        <w:rPr>
          <w:lang w:val="en-US"/>
        </w:rPr>
        <w:t xml:space="preserve">Counterparty Default, Life, Health BSCR increased over the </w:t>
      </w:r>
      <w:proofErr w:type="gramStart"/>
      <w:r w:rsidRPr="00B4571F">
        <w:rPr>
          <w:lang w:val="en-US"/>
        </w:rPr>
        <w:t>year</w:t>
      </w:r>
      <w:proofErr w:type="gramEnd"/>
      <w:r w:rsidRPr="00B4571F">
        <w:rPr>
          <w:lang w:val="en-US"/>
        </w:rPr>
        <w:t xml:space="preserve"> but Market BSCR decreased.</w:t>
      </w:r>
    </w:p>
    <w:p w14:paraId="02D98506" w14:textId="2321D0D6" w:rsidR="00E90DB0" w:rsidRPr="00AA37FC" w:rsidRDefault="00E90DB0" w:rsidP="00AA37FC">
      <w:pPr>
        <w:rPr>
          <w:lang w:val="en-US"/>
        </w:rPr>
      </w:pPr>
      <w:r w:rsidRPr="00B4571F">
        <w:rPr>
          <w:lang w:val="en-US"/>
        </w:rPr>
        <w:t xml:space="preserve">The </w:t>
      </w:r>
      <w:r w:rsidR="00B4571F" w:rsidRPr="00B4571F">
        <w:rPr>
          <w:lang w:val="en-US"/>
        </w:rPr>
        <w:t xml:space="preserve">composition of the </w:t>
      </w:r>
      <w:r w:rsidRPr="00B4571F">
        <w:rPr>
          <w:lang w:val="en-US"/>
        </w:rPr>
        <w:t>BSCR is shown in Figures 1-2 below:</w:t>
      </w:r>
    </w:p>
    <w:p w14:paraId="66137A99" w14:textId="3808986C" w:rsidR="00E90DB0" w:rsidRPr="0058293B" w:rsidRDefault="00E90DB0" w:rsidP="00E90DB0">
      <w:pPr>
        <w:pStyle w:val="Caption"/>
        <w:rPr>
          <w:lang w:val="en-US"/>
        </w:rPr>
      </w:pPr>
      <w:r>
        <w:t xml:space="preserve">Figure </w:t>
      </w:r>
      <w:fldSimple w:instr=" SEQ Figure \* ARABIC ">
        <w:r>
          <w:rPr>
            <w:noProof/>
          </w:rPr>
          <w:t>1</w:t>
        </w:r>
      </w:fldSimple>
      <w:r w:rsidRPr="0058293B">
        <w:rPr>
          <w:lang w:val="en-US"/>
        </w:rPr>
        <w:t xml:space="preserve"> – </w:t>
      </w:r>
      <w:r w:rsidR="0058293B" w:rsidRPr="0058293B">
        <w:rPr>
          <w:lang w:val="en-US"/>
        </w:rPr>
        <w:t>Composition of the Basic</w:t>
      </w:r>
      <w:r w:rsidR="0058293B">
        <w:rPr>
          <w:lang w:val="en-US"/>
        </w:rPr>
        <w:t xml:space="preserve"> SCR</w:t>
      </w:r>
      <w:r w:rsidRPr="0058293B">
        <w:rPr>
          <w:lang w:val="en-US"/>
        </w:rPr>
        <w:t xml:space="preserve"> 2024</w:t>
      </w:r>
    </w:p>
    <w:p w14:paraId="644AC7E6" w14:textId="69F2E678" w:rsidR="00E90DB0" w:rsidRPr="00E90DB0" w:rsidRDefault="00155F41" w:rsidP="00E90DB0">
      <w:pPr>
        <w:rPr>
          <w:lang w:val="fr-BE"/>
        </w:rPr>
      </w:pPr>
      <w:r>
        <w:rPr>
          <w:noProof/>
        </w:rPr>
        <w:drawing>
          <wp:inline distT="0" distB="0" distL="0" distR="0" wp14:anchorId="2680798A" wp14:editId="7B4685EC">
            <wp:extent cx="3498850" cy="2247900"/>
            <wp:effectExtent l="0" t="0" r="6350" b="0"/>
            <wp:docPr id="1775038160" name="Chart 1">
              <a:extLst xmlns:a="http://schemas.openxmlformats.org/drawingml/2006/main">
                <a:ext uri="{FF2B5EF4-FFF2-40B4-BE49-F238E27FC236}">
                  <a16:creationId xmlns:a16="http://schemas.microsoft.com/office/drawing/2014/main" id="{A01F8735-6D9B-4822-8350-9891E02C3F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D1B664F" w14:textId="06EDCAC2" w:rsidR="00E90DB0" w:rsidRPr="0058293B" w:rsidRDefault="00E90DB0" w:rsidP="00E90DB0">
      <w:pPr>
        <w:pStyle w:val="Caption"/>
        <w:rPr>
          <w:lang w:val="en-US"/>
        </w:rPr>
      </w:pPr>
      <w:r>
        <w:t xml:space="preserve">Figure </w:t>
      </w:r>
      <w:fldSimple w:instr=" SEQ Figure \* ARABIC ">
        <w:r>
          <w:rPr>
            <w:noProof/>
          </w:rPr>
          <w:t>2</w:t>
        </w:r>
      </w:fldSimple>
      <w:r w:rsidRPr="0058293B">
        <w:rPr>
          <w:lang w:val="en-US"/>
        </w:rPr>
        <w:t xml:space="preserve"> –</w:t>
      </w:r>
      <w:r w:rsidR="0058293B" w:rsidRPr="0058293B">
        <w:rPr>
          <w:lang w:val="en-US"/>
        </w:rPr>
        <w:t xml:space="preserve">Composition of the Basic </w:t>
      </w:r>
      <w:r w:rsidR="0058293B">
        <w:rPr>
          <w:lang w:val="en-US"/>
        </w:rPr>
        <w:t xml:space="preserve">SCR </w:t>
      </w:r>
      <w:r w:rsidRPr="0058293B">
        <w:rPr>
          <w:lang w:val="en-US"/>
        </w:rPr>
        <w:t>2023</w:t>
      </w:r>
    </w:p>
    <w:p w14:paraId="583291F3" w14:textId="1F55BADA" w:rsidR="00E90DB0" w:rsidRPr="00155F41" w:rsidRDefault="00155F41" w:rsidP="00E90DB0">
      <w:pPr>
        <w:rPr>
          <w:lang w:val="en-US"/>
        </w:rPr>
      </w:pPr>
      <w:r>
        <w:rPr>
          <w:noProof/>
        </w:rPr>
        <w:drawing>
          <wp:inline distT="0" distB="0" distL="0" distR="0" wp14:anchorId="36EDFE3C" wp14:editId="5A07D0EE">
            <wp:extent cx="3511550" cy="2470150"/>
            <wp:effectExtent l="0" t="0" r="12700" b="6350"/>
            <wp:docPr id="1084877571" name="Chart 2">
              <a:extLst xmlns:a="http://schemas.openxmlformats.org/drawingml/2006/main">
                <a:ext uri="{FF2B5EF4-FFF2-40B4-BE49-F238E27FC236}">
                  <a16:creationId xmlns:a16="http://schemas.microsoft.com/office/drawing/2014/main" id="{190A1693-984B-4735-BE7B-F1A317289F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6E6C064" w14:textId="2A2F0CA5" w:rsidR="006450C0" w:rsidRDefault="00DA1E8E" w:rsidP="00E90DB0">
      <w:pPr>
        <w:rPr>
          <w:lang w:val="en-US"/>
        </w:rPr>
      </w:pPr>
      <w:r w:rsidRPr="006D035D">
        <w:rPr>
          <w:lang w:val="en-US"/>
        </w:rPr>
        <w:t xml:space="preserve">The proportion of </w:t>
      </w:r>
      <w:r w:rsidR="006D035D" w:rsidRPr="006D035D">
        <w:rPr>
          <w:lang w:val="en-US"/>
        </w:rPr>
        <w:t>Market R</w:t>
      </w:r>
      <w:r w:rsidR="006D035D">
        <w:rPr>
          <w:lang w:val="en-US"/>
        </w:rPr>
        <w:t xml:space="preserve">isk </w:t>
      </w:r>
      <w:r w:rsidR="006450C0">
        <w:rPr>
          <w:lang w:val="en-US"/>
        </w:rPr>
        <w:t xml:space="preserve">and Counterparty Default </w:t>
      </w:r>
      <w:r w:rsidR="00155F41">
        <w:rPr>
          <w:lang w:val="en-US"/>
        </w:rPr>
        <w:t>BSCR</w:t>
      </w:r>
      <w:r w:rsidR="006450C0">
        <w:rPr>
          <w:lang w:val="en-US"/>
        </w:rPr>
        <w:t xml:space="preserve"> decreased over the year while the proportion of Life Underwriting and Health </w:t>
      </w:r>
      <w:r w:rsidR="00155F41">
        <w:rPr>
          <w:lang w:val="en-US"/>
        </w:rPr>
        <w:t xml:space="preserve">BSCR </w:t>
      </w:r>
      <w:r w:rsidR="006450C0">
        <w:rPr>
          <w:lang w:val="en-US"/>
        </w:rPr>
        <w:t xml:space="preserve">increased. </w:t>
      </w:r>
    </w:p>
    <w:p w14:paraId="026C84A9" w14:textId="7219E5E8" w:rsidR="0013157B" w:rsidRPr="006D035D" w:rsidRDefault="0013157B" w:rsidP="00E90DB0">
      <w:pPr>
        <w:rPr>
          <w:lang w:val="en-US"/>
        </w:rPr>
      </w:pPr>
      <w:r>
        <w:rPr>
          <w:lang w:val="en-US"/>
        </w:rPr>
        <w:t xml:space="preserve">The increase in Life and Health </w:t>
      </w:r>
      <w:r w:rsidR="00155F41">
        <w:rPr>
          <w:lang w:val="en-US"/>
        </w:rPr>
        <w:t>r</w:t>
      </w:r>
      <w:r>
        <w:rPr>
          <w:lang w:val="en-US"/>
        </w:rPr>
        <w:t xml:space="preserve">isks is due to growth in business volume. Most of the growth came from Health Risks due to the introduction of a new product called </w:t>
      </w:r>
      <w:proofErr w:type="spellStart"/>
      <w:r>
        <w:rPr>
          <w:lang w:val="en-US"/>
        </w:rPr>
        <w:t>ProtectMe</w:t>
      </w:r>
      <w:proofErr w:type="spellEnd"/>
      <w:r>
        <w:rPr>
          <w:lang w:val="en-US"/>
        </w:rPr>
        <w:t>.</w:t>
      </w:r>
    </w:p>
    <w:p w14:paraId="2D21565C" w14:textId="4B8EBDEE" w:rsidR="00D325C5" w:rsidRDefault="00D325C5" w:rsidP="00D325C5">
      <w:pPr>
        <w:pStyle w:val="Heading1"/>
        <w:rPr>
          <w:lang w:val="en-US"/>
        </w:rPr>
      </w:pPr>
      <w:bookmarkStart w:id="5" w:name="_Toc193616365"/>
      <w:r>
        <w:rPr>
          <w:lang w:val="en-US"/>
        </w:rPr>
        <w:t>Conclusion</w:t>
      </w:r>
      <w:bookmarkEnd w:id="5"/>
    </w:p>
    <w:p w14:paraId="68B7C59B" w14:textId="48828987" w:rsidR="00DA1E8E" w:rsidRPr="00DA1E8E" w:rsidRDefault="00DA1E8E" w:rsidP="00DA1E8E">
      <w:pPr>
        <w:rPr>
          <w:lang w:val="en-US"/>
        </w:rPr>
      </w:pPr>
      <w:r w:rsidRPr="00B4571F">
        <w:rPr>
          <w:lang w:val="en-US"/>
        </w:rPr>
        <w:t>The Company</w:t>
      </w:r>
      <w:r w:rsidR="00872E5E">
        <w:rPr>
          <w:lang w:val="en-US"/>
        </w:rPr>
        <w:t xml:space="preserve">’s solvency ratio of 138.0% at </w:t>
      </w:r>
      <w:r w:rsidRPr="00B4571F">
        <w:rPr>
          <w:lang w:val="en-US"/>
        </w:rPr>
        <w:t>year-end 2024 is above its target solvency ratio of 115%.</w:t>
      </w:r>
      <w:r w:rsidR="00872E5E">
        <w:rPr>
          <w:lang w:val="en-US"/>
        </w:rPr>
        <w:t xml:space="preserve"> </w:t>
      </w:r>
      <w:r>
        <w:rPr>
          <w:lang w:val="en-US"/>
        </w:rPr>
        <w:t xml:space="preserve"> </w:t>
      </w:r>
    </w:p>
    <w:sectPr w:rsidR="00DA1E8E" w:rsidRPr="00DA1E8E" w:rsidSect="00834541">
      <w:headerReference w:type="default" r:id="rId10"/>
      <w:pgSz w:w="11906" w:h="16838"/>
      <w:pgMar w:top="1843" w:right="1700" w:bottom="1440" w:left="1440"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0490" w14:textId="77777777" w:rsidR="00346E43" w:rsidRDefault="00346E43" w:rsidP="00E90DB0">
      <w:pPr>
        <w:spacing w:before="0" w:after="0" w:line="240" w:lineRule="auto"/>
      </w:pPr>
      <w:r>
        <w:separator/>
      </w:r>
    </w:p>
  </w:endnote>
  <w:endnote w:type="continuationSeparator" w:id="0">
    <w:p w14:paraId="2F387109" w14:textId="77777777" w:rsidR="00346E43" w:rsidRDefault="00346E43" w:rsidP="00E90D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614A" w14:textId="77777777" w:rsidR="00346E43" w:rsidRDefault="00346E43" w:rsidP="00E90DB0">
      <w:pPr>
        <w:spacing w:before="0" w:after="0" w:line="240" w:lineRule="auto"/>
      </w:pPr>
      <w:r>
        <w:separator/>
      </w:r>
    </w:p>
  </w:footnote>
  <w:footnote w:type="continuationSeparator" w:id="0">
    <w:p w14:paraId="38742635" w14:textId="77777777" w:rsidR="00346E43" w:rsidRDefault="00346E43" w:rsidP="00E90D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ADE7" w14:textId="3A6D6C10" w:rsidR="00FC47DC" w:rsidRDefault="00FC47DC" w:rsidP="00FC47DC">
    <w:pPr>
      <w:pStyle w:val="NormalWeb"/>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E7EA2"/>
    <w:multiLevelType w:val="multilevel"/>
    <w:tmpl w:val="EC2AB51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D6F1411"/>
    <w:multiLevelType w:val="hybridMultilevel"/>
    <w:tmpl w:val="22F20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2D77835"/>
    <w:multiLevelType w:val="hybridMultilevel"/>
    <w:tmpl w:val="D42293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65045079">
    <w:abstractNumId w:val="0"/>
  </w:num>
  <w:num w:numId="2" w16cid:durableId="1550876229">
    <w:abstractNumId w:val="2"/>
  </w:num>
  <w:num w:numId="3" w16cid:durableId="2004309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5C5"/>
    <w:rsid w:val="00054A96"/>
    <w:rsid w:val="00063DC3"/>
    <w:rsid w:val="0013157B"/>
    <w:rsid w:val="00146F7D"/>
    <w:rsid w:val="00155F41"/>
    <w:rsid w:val="0017523B"/>
    <w:rsid w:val="00196970"/>
    <w:rsid w:val="002B11CB"/>
    <w:rsid w:val="00346E43"/>
    <w:rsid w:val="00383A1B"/>
    <w:rsid w:val="00431B35"/>
    <w:rsid w:val="00440FC4"/>
    <w:rsid w:val="0058293B"/>
    <w:rsid w:val="005B47A5"/>
    <w:rsid w:val="006450C0"/>
    <w:rsid w:val="00655226"/>
    <w:rsid w:val="006D035D"/>
    <w:rsid w:val="00790EC4"/>
    <w:rsid w:val="007A1D3F"/>
    <w:rsid w:val="007E284F"/>
    <w:rsid w:val="00834541"/>
    <w:rsid w:val="00856900"/>
    <w:rsid w:val="00872E5E"/>
    <w:rsid w:val="00873390"/>
    <w:rsid w:val="00AA37FC"/>
    <w:rsid w:val="00AB2A25"/>
    <w:rsid w:val="00B4571F"/>
    <w:rsid w:val="00C479E4"/>
    <w:rsid w:val="00CE3869"/>
    <w:rsid w:val="00D320E9"/>
    <w:rsid w:val="00D325C5"/>
    <w:rsid w:val="00DA1E8E"/>
    <w:rsid w:val="00E90DB0"/>
    <w:rsid w:val="00F07503"/>
    <w:rsid w:val="00FC47DC"/>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CC823"/>
  <w15:chartTrackingRefBased/>
  <w15:docId w15:val="{0555749C-D87F-476C-9390-909ED768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B0"/>
    <w:pPr>
      <w:spacing w:before="120"/>
    </w:pPr>
  </w:style>
  <w:style w:type="paragraph" w:styleId="Heading1">
    <w:name w:val="heading 1"/>
    <w:basedOn w:val="Normal"/>
    <w:next w:val="Normal"/>
    <w:link w:val="Heading1Char"/>
    <w:uiPriority w:val="9"/>
    <w:qFormat/>
    <w:rsid w:val="00D325C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0DB0"/>
    <w:pPr>
      <w:keepNext/>
      <w:keepLines/>
      <w:numPr>
        <w:ilvl w:val="1"/>
        <w:numId w:val="1"/>
      </w:numPr>
      <w:spacing w:before="40" w:after="0"/>
      <w:ind w:left="431" w:hanging="431"/>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5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90DB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325C5"/>
    <w:pPr>
      <w:numPr>
        <w:numId w:val="0"/>
      </w:numPr>
      <w:outlineLvl w:val="9"/>
    </w:pPr>
    <w:rPr>
      <w:lang w:val="en-US"/>
    </w:rPr>
  </w:style>
  <w:style w:type="paragraph" w:styleId="TOC1">
    <w:name w:val="toc 1"/>
    <w:basedOn w:val="Normal"/>
    <w:next w:val="Normal"/>
    <w:autoRedefine/>
    <w:uiPriority w:val="39"/>
    <w:unhideWhenUsed/>
    <w:rsid w:val="00D325C5"/>
    <w:pPr>
      <w:spacing w:after="100"/>
    </w:pPr>
  </w:style>
  <w:style w:type="paragraph" w:styleId="TOC2">
    <w:name w:val="toc 2"/>
    <w:basedOn w:val="Normal"/>
    <w:next w:val="Normal"/>
    <w:autoRedefine/>
    <w:uiPriority w:val="39"/>
    <w:unhideWhenUsed/>
    <w:rsid w:val="00D325C5"/>
    <w:pPr>
      <w:spacing w:after="100"/>
      <w:ind w:left="220"/>
    </w:pPr>
  </w:style>
  <w:style w:type="character" w:styleId="Hyperlink">
    <w:name w:val="Hyperlink"/>
    <w:basedOn w:val="DefaultParagraphFont"/>
    <w:uiPriority w:val="99"/>
    <w:unhideWhenUsed/>
    <w:rsid w:val="00D325C5"/>
    <w:rPr>
      <w:color w:val="0563C1" w:themeColor="hyperlink"/>
      <w:u w:val="single"/>
    </w:rPr>
  </w:style>
  <w:style w:type="paragraph" w:styleId="Caption">
    <w:name w:val="caption"/>
    <w:basedOn w:val="Normal"/>
    <w:next w:val="Normal"/>
    <w:uiPriority w:val="35"/>
    <w:unhideWhenUsed/>
    <w:qFormat/>
    <w:rsid w:val="00E90DB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90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DB0"/>
  </w:style>
  <w:style w:type="paragraph" w:styleId="Footer">
    <w:name w:val="footer"/>
    <w:basedOn w:val="Normal"/>
    <w:link w:val="FooterChar"/>
    <w:uiPriority w:val="99"/>
    <w:unhideWhenUsed/>
    <w:rsid w:val="00E90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DB0"/>
  </w:style>
  <w:style w:type="paragraph" w:styleId="ListParagraph">
    <w:name w:val="List Paragraph"/>
    <w:basedOn w:val="Normal"/>
    <w:uiPriority w:val="34"/>
    <w:qFormat/>
    <w:rsid w:val="00E90DB0"/>
    <w:pPr>
      <w:ind w:left="720"/>
      <w:contextualSpacing/>
    </w:pPr>
  </w:style>
  <w:style w:type="paragraph" w:styleId="NormalWeb">
    <w:name w:val="Normal (Web)"/>
    <w:basedOn w:val="Normal"/>
    <w:uiPriority w:val="99"/>
    <w:semiHidden/>
    <w:unhideWhenUsed/>
    <w:rsid w:val="00FC47DC"/>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22751">
      <w:bodyDiv w:val="1"/>
      <w:marLeft w:val="0"/>
      <w:marRight w:val="0"/>
      <w:marTop w:val="0"/>
      <w:marBottom w:val="0"/>
      <w:divBdr>
        <w:top w:val="none" w:sz="0" w:space="0" w:color="auto"/>
        <w:left w:val="none" w:sz="0" w:space="0" w:color="auto"/>
        <w:bottom w:val="none" w:sz="0" w:space="0" w:color="auto"/>
        <w:right w:val="none" w:sz="0" w:space="0" w:color="auto"/>
      </w:divBdr>
    </w:div>
    <w:div w:id="310911463">
      <w:bodyDiv w:val="1"/>
      <w:marLeft w:val="0"/>
      <w:marRight w:val="0"/>
      <w:marTop w:val="0"/>
      <w:marBottom w:val="0"/>
      <w:divBdr>
        <w:top w:val="none" w:sz="0" w:space="0" w:color="auto"/>
        <w:left w:val="none" w:sz="0" w:space="0" w:color="auto"/>
        <w:bottom w:val="none" w:sz="0" w:space="0" w:color="auto"/>
        <w:right w:val="none" w:sz="0" w:space="0" w:color="auto"/>
      </w:divBdr>
    </w:div>
    <w:div w:id="474958934">
      <w:bodyDiv w:val="1"/>
      <w:marLeft w:val="0"/>
      <w:marRight w:val="0"/>
      <w:marTop w:val="0"/>
      <w:marBottom w:val="0"/>
      <w:divBdr>
        <w:top w:val="none" w:sz="0" w:space="0" w:color="auto"/>
        <w:left w:val="none" w:sz="0" w:space="0" w:color="auto"/>
        <w:bottom w:val="none" w:sz="0" w:space="0" w:color="auto"/>
        <w:right w:val="none" w:sz="0" w:space="0" w:color="auto"/>
      </w:divBdr>
    </w:div>
    <w:div w:id="546531007">
      <w:bodyDiv w:val="1"/>
      <w:marLeft w:val="0"/>
      <w:marRight w:val="0"/>
      <w:marTop w:val="0"/>
      <w:marBottom w:val="0"/>
      <w:divBdr>
        <w:top w:val="none" w:sz="0" w:space="0" w:color="auto"/>
        <w:left w:val="none" w:sz="0" w:space="0" w:color="auto"/>
        <w:bottom w:val="none" w:sz="0" w:space="0" w:color="auto"/>
        <w:right w:val="none" w:sz="0" w:space="0" w:color="auto"/>
      </w:divBdr>
    </w:div>
    <w:div w:id="788931427">
      <w:bodyDiv w:val="1"/>
      <w:marLeft w:val="0"/>
      <w:marRight w:val="0"/>
      <w:marTop w:val="0"/>
      <w:marBottom w:val="0"/>
      <w:divBdr>
        <w:top w:val="none" w:sz="0" w:space="0" w:color="auto"/>
        <w:left w:val="none" w:sz="0" w:space="0" w:color="auto"/>
        <w:bottom w:val="none" w:sz="0" w:space="0" w:color="auto"/>
        <w:right w:val="none" w:sz="0" w:space="0" w:color="auto"/>
      </w:divBdr>
    </w:div>
    <w:div w:id="855074493">
      <w:bodyDiv w:val="1"/>
      <w:marLeft w:val="0"/>
      <w:marRight w:val="0"/>
      <w:marTop w:val="0"/>
      <w:marBottom w:val="0"/>
      <w:divBdr>
        <w:top w:val="none" w:sz="0" w:space="0" w:color="auto"/>
        <w:left w:val="none" w:sz="0" w:space="0" w:color="auto"/>
        <w:bottom w:val="none" w:sz="0" w:space="0" w:color="auto"/>
        <w:right w:val="none" w:sz="0" w:space="0" w:color="auto"/>
      </w:divBdr>
    </w:div>
    <w:div w:id="999774760">
      <w:bodyDiv w:val="1"/>
      <w:marLeft w:val="0"/>
      <w:marRight w:val="0"/>
      <w:marTop w:val="0"/>
      <w:marBottom w:val="0"/>
      <w:divBdr>
        <w:top w:val="none" w:sz="0" w:space="0" w:color="auto"/>
        <w:left w:val="none" w:sz="0" w:space="0" w:color="auto"/>
        <w:bottom w:val="none" w:sz="0" w:space="0" w:color="auto"/>
        <w:right w:val="none" w:sz="0" w:space="0" w:color="auto"/>
      </w:divBdr>
    </w:div>
    <w:div w:id="1031147897">
      <w:bodyDiv w:val="1"/>
      <w:marLeft w:val="0"/>
      <w:marRight w:val="0"/>
      <w:marTop w:val="0"/>
      <w:marBottom w:val="0"/>
      <w:divBdr>
        <w:top w:val="none" w:sz="0" w:space="0" w:color="auto"/>
        <w:left w:val="none" w:sz="0" w:space="0" w:color="auto"/>
        <w:bottom w:val="none" w:sz="0" w:space="0" w:color="auto"/>
        <w:right w:val="none" w:sz="0" w:space="0" w:color="auto"/>
      </w:divBdr>
    </w:div>
    <w:div w:id="1360356441">
      <w:bodyDiv w:val="1"/>
      <w:marLeft w:val="0"/>
      <w:marRight w:val="0"/>
      <w:marTop w:val="0"/>
      <w:marBottom w:val="0"/>
      <w:divBdr>
        <w:top w:val="none" w:sz="0" w:space="0" w:color="auto"/>
        <w:left w:val="none" w:sz="0" w:space="0" w:color="auto"/>
        <w:bottom w:val="none" w:sz="0" w:space="0" w:color="auto"/>
        <w:right w:val="none" w:sz="0" w:space="0" w:color="auto"/>
      </w:divBdr>
    </w:div>
    <w:div w:id="143636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zab\Documents\Coding\report_automation\scr_example_article\input\tables\scr_table_2024Y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ab\Documents\Coding\report_automation\scr_example_article\input\tables\scr_table_2024Y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Composition</a:t>
            </a:r>
            <a:r>
              <a:rPr lang="en-US" baseline="0"/>
              <a:t> of the Basic SCR - 2024</a:t>
            </a:r>
            <a:endParaRPr lang="en-US"/>
          </a:p>
        </c:rich>
      </c:tx>
      <c:layout>
        <c:manualLayout>
          <c:xMode val="edge"/>
          <c:yMode val="edge"/>
          <c:x val="0.2053158308792302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A33-4B63-AD23-38895EBF7B1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A33-4B63-AD23-38895EBF7B1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A33-4B63-AD23-38895EBF7B1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A33-4B63-AD23-38895EBF7B1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B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'SCR Table'!$A$2:$A$5</c:f>
              <c:strCache>
                <c:ptCount val="4"/>
                <c:pt idx="0">
                  <c:v>Market</c:v>
                </c:pt>
                <c:pt idx="1">
                  <c:v>Counterparty Default</c:v>
                </c:pt>
                <c:pt idx="2">
                  <c:v>Life</c:v>
                </c:pt>
                <c:pt idx="3">
                  <c:v>Health</c:v>
                </c:pt>
              </c:strCache>
            </c:strRef>
          </c:cat>
          <c:val>
            <c:numRef>
              <c:f>'SCR Table'!$B$2:$B$5</c:f>
              <c:numCache>
                <c:formatCode>_(* #,##0.0_);_(* \(#,##0.0\);_(* "-"_);_(@_)</c:formatCode>
                <c:ptCount val="4"/>
                <c:pt idx="0">
                  <c:v>100</c:v>
                </c:pt>
                <c:pt idx="1">
                  <c:v>50.5</c:v>
                </c:pt>
                <c:pt idx="2">
                  <c:v>80.3</c:v>
                </c:pt>
                <c:pt idx="3">
                  <c:v>55.3</c:v>
                </c:pt>
              </c:numCache>
            </c:numRef>
          </c:val>
          <c:extLst>
            <c:ext xmlns:c16="http://schemas.microsoft.com/office/drawing/2014/chart" uri="{C3380CC4-5D6E-409C-BE32-E72D297353CC}">
              <c16:uniqueId val="{00000008-FA33-4B63-AD23-38895EBF7B1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Composition</a:t>
            </a:r>
            <a:r>
              <a:rPr lang="en-US" baseline="0"/>
              <a:t> of the Basic SCR - 2023</a:t>
            </a:r>
            <a:endParaRPr lang="en-US"/>
          </a:p>
        </c:rich>
      </c:tx>
      <c:layout>
        <c:manualLayout>
          <c:xMode val="edge"/>
          <c:yMode val="edge"/>
          <c:x val="0.2053158308792302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8D0-4FB8-B2E2-50689EFDE0A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8D0-4FB8-B2E2-50689EFDE0A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8D0-4FB8-B2E2-50689EFDE0A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8D0-4FB8-B2E2-50689EFDE0A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B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'SCR Table'!$A$2:$A$5</c:f>
              <c:strCache>
                <c:ptCount val="4"/>
                <c:pt idx="0">
                  <c:v>Market</c:v>
                </c:pt>
                <c:pt idx="1">
                  <c:v>Counterparty Default</c:v>
                </c:pt>
                <c:pt idx="2">
                  <c:v>Life</c:v>
                </c:pt>
                <c:pt idx="3">
                  <c:v>Health</c:v>
                </c:pt>
              </c:strCache>
            </c:strRef>
          </c:cat>
          <c:val>
            <c:numRef>
              <c:f>'SCR Table'!$C$2:$C$5</c:f>
              <c:numCache>
                <c:formatCode>_(* #,##0.0_);_(* \(#,##0.0\);_(* "-"_);_(@_)</c:formatCode>
                <c:ptCount val="4"/>
                <c:pt idx="0">
                  <c:v>111.1</c:v>
                </c:pt>
                <c:pt idx="1">
                  <c:v>48.4</c:v>
                </c:pt>
                <c:pt idx="2">
                  <c:v>69.900000000000006</c:v>
                </c:pt>
                <c:pt idx="3">
                  <c:v>20.100000000000001</c:v>
                </c:pt>
              </c:numCache>
            </c:numRef>
          </c:val>
          <c:extLst>
            <c:ext xmlns:c16="http://schemas.microsoft.com/office/drawing/2014/chart" uri="{C3380CC4-5D6E-409C-BE32-E72D297353CC}">
              <c16:uniqueId val="{00000008-A8D0-4FB8-B2E2-50689EFDE0A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36ACA-80BC-41C2-BB8B-75964AAB1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5212</TotalTime>
  <Pages>2</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FlexIT Distribution</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Bence Zaupper (Finalyse)</dc:creator>
  <cp:keywords/>
  <dc:description/>
  <cp:lastModifiedBy>Bence Zaupper</cp:lastModifiedBy>
  <cp:revision>10</cp:revision>
  <dcterms:created xsi:type="dcterms:W3CDTF">2025-03-23T09:49:00Z</dcterms:created>
  <dcterms:modified xsi:type="dcterms:W3CDTF">2025-10-21T18:23:00Z</dcterms:modified>
</cp:coreProperties>
</file>