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sz w:val="32"/>
        </w:rPr>
        <w:t>SCR results for year-end 2026</w:t>
      </w:r>
    </w:p>
    <w:p>
      <w:pPr>
        <w:spacing w:before="120"/>
      </w:pPr>
      <w:r>
        <w:rPr>
          <w:b/>
          <w:sz w:val="28"/>
        </w:rPr>
        <w:t>1. Introduction</w:t>
      </w:r>
    </w:p>
    <w:p>
      <w:pPr>
        <w:spacing w:before="120"/>
      </w:pPr>
      <w:r>
        <w:rPr>
          <w:b/>
          <w:sz w:val="28"/>
        </w:rPr>
        <w:t>1.1 Overview</w:t>
      </w:r>
    </w:p>
    <w:p>
      <w:pPr>
        <w:spacing w:after="0"/>
      </w:pPr>
      <w:r>
        <w:t xml:space="preserve">This report summarises the Solvency Position of Smart Insurance Ltd (the Company) for year-end 2026 with comparison to the previous year-end.                </w:t>
      </w:r>
      <w:r>
        <w:br/>
      </w:r>
      <w:r>
        <w:br/>
      </w:r>
      <w:r>
        <w:t xml:space="preserve">The Solvency Ratio increased by 2.2% from 142.1% to 144.3% since the previous year. Analysis of the drivers of the results is provided in Section 2. </w:t>
      </w:r>
    </w:p>
    <w:p>
      <w:pPr>
        <w:spacing w:before="120"/>
      </w:pPr>
      <w:r>
        <w:rPr>
          <w:b/>
          <w:sz w:val="28"/>
        </w:rPr>
        <w:t>1.2 Background</w:t>
      </w:r>
    </w:p>
    <w:p>
      <w:pPr>
        <w:spacing w:after="0"/>
      </w:pPr>
      <w:r>
        <w:t>The capital regime for an insurance undertaking in the EU is governed by the Solvency II Directive. This directive requires insurance undertakings to report their solvency to the supervisory authorities on a regular basis, typically quarterly or annually.</w:t>
      </w:r>
    </w:p>
    <w:p>
      <w:pPr>
        <w:spacing w:before="120"/>
      </w:pPr>
      <w:r>
        <w:rPr>
          <w:b/>
          <w:sz w:val="28"/>
        </w:rPr>
        <w:t>1.3 Scope</w:t>
      </w:r>
    </w:p>
    <w:p>
      <w:pPr>
        <w:spacing w:after="0"/>
      </w:pPr>
      <w:r>
        <w:t xml:space="preserve">The scope of this report covers the annual results of Smart Insurance Ltd in terms of:                </w:t>
      </w:r>
      <w:r/>
    </w:p>
    <w:p>
      <w:pPr>
        <w:pStyle w:val="ListBullet"/>
        <w:spacing w:before="0" w:after="0"/>
      </w:pPr>
      <w:r>
        <w:t xml:space="preserve">Solvency Capital Requirement (SCR)  </w:t>
      </w:r>
    </w:p>
    <w:p>
      <w:pPr>
        <w:pStyle w:val="ListBullet"/>
        <w:spacing w:before="0" w:after="0"/>
      </w:pPr>
      <w:r>
        <w:t>Own Funds</w:t>
      </w:r>
    </w:p>
    <w:p>
      <w:pPr>
        <w:pStyle w:val="ListBullet"/>
        <w:spacing w:before="0" w:after="0"/>
      </w:pPr>
      <w:r>
        <w:t>Solvency Ratio</w:t>
      </w:r>
    </w:p>
    <w:p>
      <w:pPr>
        <w:spacing w:before="120"/>
      </w:pPr>
      <w:r>
        <w:rPr>
          <w:b/>
          <w:sz w:val="28"/>
        </w:rPr>
        <w:t>2. Results</w:t>
      </w:r>
    </w:p>
    <w:p>
      <w:pPr>
        <w:spacing w:after="0"/>
      </w:pPr>
      <w:r>
        <w:t xml:space="preserve">Table 1 below summarises the solvency position of the entity for year-end 2026. </w:t>
      </w:r>
    </w:p>
    <w:p>
      <w:pPr>
        <w:spacing w:before="120"/>
      </w:pPr>
      <w:r>
        <w:rPr>
          <w:i/>
          <w:sz w:val="20"/>
        </w:rPr>
        <w:t xml:space="preserve">Table 1 – Summary of Solvency Position 2026 vs 2025 </w:t>
      </w:r>
    </w:p>
    <w:tbl>
      <w:tblPr>
        <w:tblStyle w:val="TableGrid"/>
        <w:tblW w:type="auto" w:w="0"/>
        <w:jc w:val="center"/>
        <w:tblLook w:firstColumn="1" w:firstRow="1" w:lastColumn="0" w:lastRow="0" w:noHBand="0" w:noVBand="1" w:val="04A0"/>
        <w:tblW w:w="5000" w:type="pct"/>
      </w:tblPr>
      <w:tblGrid>
        <w:gridCol w:w="1728"/>
        <w:gridCol w:w="1728"/>
        <w:gridCol w:w="1728"/>
        <w:gridCol w:w="1728"/>
        <w:gridCol w:w="1728"/>
      </w:tblGrid>
      <w:tr>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left"/>
            </w:pPr>
            <w:r>
              <w:rPr>
                <w:b/>
                <w:color w:val="FFFFFF"/>
              </w:rPr>
              <w:t>€m</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2026</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2025</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Movement</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Movement %</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Market</w:t>
            </w:r>
          </w:p>
        </w:tc>
        <w:tc>
          <w:tcPr>
            <w:tcW w:type="dxa" w:w="1728"/>
            <w:tcBorders>
              <w:top w:val="single" w:sz="4" w:space="0" w:color="000000"/>
              <w:left w:val="single" w:sz="4" w:space="0" w:color="000000"/>
              <w:bottom w:val="single" w:sz="4" w:space="0" w:color="000000"/>
              <w:right w:val="single" w:sz="4" w:space="0" w:color="000000"/>
            </w:tcBorders>
          </w:tcPr>
          <w:p>
            <w:pPr>
              <w:jc w:val="right"/>
            </w:pPr>
            <w:r>
              <w:t>125.3</w:t>
            </w:r>
          </w:p>
        </w:tc>
        <w:tc>
          <w:tcPr>
            <w:tcW w:type="dxa" w:w="1728"/>
            <w:tcBorders>
              <w:top w:val="single" w:sz="4" w:space="0" w:color="000000"/>
              <w:left w:val="single" w:sz="4" w:space="0" w:color="000000"/>
              <w:bottom w:val="single" w:sz="4" w:space="0" w:color="000000"/>
              <w:right w:val="single" w:sz="4" w:space="0" w:color="000000"/>
            </w:tcBorders>
          </w:tcPr>
          <w:p>
            <w:pPr>
              <w:jc w:val="right"/>
            </w:pPr>
            <w:r>
              <w:t>110.3</w:t>
            </w:r>
          </w:p>
        </w:tc>
        <w:tc>
          <w:tcPr>
            <w:tcW w:type="dxa" w:w="1728"/>
            <w:tcBorders>
              <w:top w:val="single" w:sz="4" w:space="0" w:color="000000"/>
              <w:left w:val="single" w:sz="4" w:space="0" w:color="000000"/>
              <w:bottom w:val="single" w:sz="4" w:space="0" w:color="000000"/>
              <w:right w:val="single" w:sz="4" w:space="0" w:color="000000"/>
            </w:tcBorders>
          </w:tcPr>
          <w:p>
            <w:pPr>
              <w:jc w:val="right"/>
            </w:pPr>
            <w:r>
              <w:t>15.0</w:t>
            </w:r>
          </w:p>
        </w:tc>
        <w:tc>
          <w:tcPr>
            <w:tcW w:type="dxa" w:w="1728"/>
            <w:tcBorders>
              <w:top w:val="single" w:sz="4" w:space="0" w:color="000000"/>
              <w:left w:val="single" w:sz="4" w:space="0" w:color="000000"/>
              <w:bottom w:val="single" w:sz="4" w:space="0" w:color="000000"/>
              <w:right w:val="single" w:sz="4" w:space="0" w:color="000000"/>
            </w:tcBorders>
          </w:tcPr>
          <w:p>
            <w:pPr>
              <w:jc w:val="right"/>
            </w:pPr>
            <w:r>
              <w:t>13.6%</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Counterparty Default</w:t>
            </w:r>
          </w:p>
        </w:tc>
        <w:tc>
          <w:tcPr>
            <w:tcW w:type="dxa" w:w="1728"/>
            <w:tcBorders>
              <w:top w:val="single" w:sz="4" w:space="0" w:color="000000"/>
              <w:left w:val="single" w:sz="4" w:space="0" w:color="000000"/>
              <w:bottom w:val="single" w:sz="4" w:space="0" w:color="000000"/>
              <w:right w:val="single" w:sz="4" w:space="0" w:color="000000"/>
            </w:tcBorders>
          </w:tcPr>
          <w:p>
            <w:pPr>
              <w:jc w:val="right"/>
            </w:pPr>
            <w:r>
              <w:t>77.2</w:t>
            </w:r>
          </w:p>
        </w:tc>
        <w:tc>
          <w:tcPr>
            <w:tcW w:type="dxa" w:w="1728"/>
            <w:tcBorders>
              <w:top w:val="single" w:sz="4" w:space="0" w:color="000000"/>
              <w:left w:val="single" w:sz="4" w:space="0" w:color="000000"/>
              <w:bottom w:val="single" w:sz="4" w:space="0" w:color="000000"/>
              <w:right w:val="single" w:sz="4" w:space="0" w:color="000000"/>
            </w:tcBorders>
          </w:tcPr>
          <w:p>
            <w:pPr>
              <w:jc w:val="right"/>
            </w:pPr>
            <w:r>
              <w:t>60.5</w:t>
            </w:r>
          </w:p>
        </w:tc>
        <w:tc>
          <w:tcPr>
            <w:tcW w:type="dxa" w:w="1728"/>
            <w:tcBorders>
              <w:top w:val="single" w:sz="4" w:space="0" w:color="000000"/>
              <w:left w:val="single" w:sz="4" w:space="0" w:color="000000"/>
              <w:bottom w:val="single" w:sz="4" w:space="0" w:color="000000"/>
              <w:right w:val="single" w:sz="4" w:space="0" w:color="000000"/>
            </w:tcBorders>
          </w:tcPr>
          <w:p>
            <w:pPr>
              <w:jc w:val="right"/>
            </w:pPr>
            <w:r>
              <w:t>16.7</w:t>
            </w:r>
          </w:p>
        </w:tc>
        <w:tc>
          <w:tcPr>
            <w:tcW w:type="dxa" w:w="1728"/>
            <w:tcBorders>
              <w:top w:val="single" w:sz="4" w:space="0" w:color="000000"/>
              <w:left w:val="single" w:sz="4" w:space="0" w:color="000000"/>
              <w:bottom w:val="single" w:sz="4" w:space="0" w:color="000000"/>
              <w:right w:val="single" w:sz="4" w:space="0" w:color="000000"/>
            </w:tcBorders>
          </w:tcPr>
          <w:p>
            <w:pPr>
              <w:jc w:val="right"/>
            </w:pPr>
            <w:r>
              <w:t>27.6%</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Life</w:t>
            </w:r>
          </w:p>
        </w:tc>
        <w:tc>
          <w:tcPr>
            <w:tcW w:type="dxa" w:w="1728"/>
            <w:tcBorders>
              <w:top w:val="single" w:sz="4" w:space="0" w:color="000000"/>
              <w:left w:val="single" w:sz="4" w:space="0" w:color="000000"/>
              <w:bottom w:val="single" w:sz="4" w:space="0" w:color="000000"/>
              <w:right w:val="single" w:sz="4" w:space="0" w:color="000000"/>
            </w:tcBorders>
          </w:tcPr>
          <w:p>
            <w:pPr>
              <w:jc w:val="right"/>
            </w:pPr>
            <w:r>
              <w:t>70.5</w:t>
            </w:r>
          </w:p>
        </w:tc>
        <w:tc>
          <w:tcPr>
            <w:tcW w:type="dxa" w:w="1728"/>
            <w:tcBorders>
              <w:top w:val="single" w:sz="4" w:space="0" w:color="000000"/>
              <w:left w:val="single" w:sz="4" w:space="0" w:color="000000"/>
              <w:bottom w:val="single" w:sz="4" w:space="0" w:color="000000"/>
              <w:right w:val="single" w:sz="4" w:space="0" w:color="000000"/>
            </w:tcBorders>
          </w:tcPr>
          <w:p>
            <w:pPr>
              <w:jc w:val="right"/>
            </w:pPr>
            <w:r>
              <w:t>75.3</w:t>
            </w:r>
          </w:p>
        </w:tc>
        <w:tc>
          <w:tcPr>
            <w:tcW w:type="dxa" w:w="1728"/>
            <w:tcBorders>
              <w:top w:val="single" w:sz="4" w:space="0" w:color="000000"/>
              <w:left w:val="single" w:sz="4" w:space="0" w:color="000000"/>
              <w:bottom w:val="single" w:sz="4" w:space="0" w:color="000000"/>
              <w:right w:val="single" w:sz="4" w:space="0" w:color="000000"/>
            </w:tcBorders>
          </w:tcPr>
          <w:p>
            <w:pPr>
              <w:jc w:val="right"/>
            </w:pPr>
            <w:r>
              <w:t>-4.8</w:t>
            </w:r>
          </w:p>
        </w:tc>
        <w:tc>
          <w:tcPr>
            <w:tcW w:type="dxa" w:w="1728"/>
            <w:tcBorders>
              <w:top w:val="single" w:sz="4" w:space="0" w:color="000000"/>
              <w:left w:val="single" w:sz="4" w:space="0" w:color="000000"/>
              <w:bottom w:val="single" w:sz="4" w:space="0" w:color="000000"/>
              <w:right w:val="single" w:sz="4" w:space="0" w:color="000000"/>
            </w:tcBorders>
          </w:tcPr>
          <w:p>
            <w:pPr>
              <w:jc w:val="right"/>
            </w:pPr>
            <w:r>
              <w:t>-6.4%</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Health</w:t>
            </w:r>
          </w:p>
        </w:tc>
        <w:tc>
          <w:tcPr>
            <w:tcW w:type="dxa" w:w="1728"/>
            <w:tcBorders>
              <w:top w:val="single" w:sz="4" w:space="0" w:color="000000"/>
              <w:left w:val="single" w:sz="4" w:space="0" w:color="000000"/>
              <w:bottom w:val="single" w:sz="4" w:space="0" w:color="000000"/>
              <w:right w:val="single" w:sz="4" w:space="0" w:color="000000"/>
            </w:tcBorders>
          </w:tcPr>
          <w:p>
            <w:pPr>
              <w:jc w:val="right"/>
            </w:pPr>
            <w:r>
              <w:t>55.5</w:t>
            </w:r>
          </w:p>
        </w:tc>
        <w:tc>
          <w:tcPr>
            <w:tcW w:type="dxa" w:w="1728"/>
            <w:tcBorders>
              <w:top w:val="single" w:sz="4" w:space="0" w:color="000000"/>
              <w:left w:val="single" w:sz="4" w:space="0" w:color="000000"/>
              <w:bottom w:val="single" w:sz="4" w:space="0" w:color="000000"/>
              <w:right w:val="single" w:sz="4" w:space="0" w:color="000000"/>
            </w:tcBorders>
          </w:tcPr>
          <w:p>
            <w:pPr>
              <w:jc w:val="right"/>
            </w:pPr>
            <w:r>
              <w:t>62.2</w:t>
            </w:r>
          </w:p>
        </w:tc>
        <w:tc>
          <w:tcPr>
            <w:tcW w:type="dxa" w:w="1728"/>
            <w:tcBorders>
              <w:top w:val="single" w:sz="4" w:space="0" w:color="000000"/>
              <w:left w:val="single" w:sz="4" w:space="0" w:color="000000"/>
              <w:bottom w:val="single" w:sz="4" w:space="0" w:color="000000"/>
              <w:right w:val="single" w:sz="4" w:space="0" w:color="000000"/>
            </w:tcBorders>
          </w:tcPr>
          <w:p>
            <w:pPr>
              <w:jc w:val="right"/>
            </w:pPr>
            <w:r>
              <w:t>-6.7</w:t>
            </w:r>
          </w:p>
        </w:tc>
        <w:tc>
          <w:tcPr>
            <w:tcW w:type="dxa" w:w="1728"/>
            <w:tcBorders>
              <w:top w:val="single" w:sz="4" w:space="0" w:color="000000"/>
              <w:left w:val="single" w:sz="4" w:space="0" w:color="000000"/>
              <w:bottom w:val="single" w:sz="4" w:space="0" w:color="000000"/>
              <w:right w:val="single" w:sz="4" w:space="0" w:color="000000"/>
            </w:tcBorders>
          </w:tcPr>
          <w:p>
            <w:pPr>
              <w:jc w:val="right"/>
            </w:pPr>
            <w:r>
              <w:t>-10.8%</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Diversification</w:t>
            </w:r>
          </w:p>
        </w:tc>
        <w:tc>
          <w:tcPr>
            <w:tcW w:type="dxa" w:w="1728"/>
            <w:tcBorders>
              <w:top w:val="single" w:sz="4" w:space="0" w:color="000000"/>
              <w:left w:val="single" w:sz="4" w:space="0" w:color="000000"/>
              <w:bottom w:val="single" w:sz="4" w:space="0" w:color="000000"/>
              <w:right w:val="single" w:sz="4" w:space="0" w:color="000000"/>
            </w:tcBorders>
          </w:tcPr>
          <w:p>
            <w:pPr>
              <w:jc w:val="right"/>
            </w:pPr>
            <w:r>
              <w:t>-66.0</w:t>
            </w:r>
          </w:p>
        </w:tc>
        <w:tc>
          <w:tcPr>
            <w:tcW w:type="dxa" w:w="1728"/>
            <w:tcBorders>
              <w:top w:val="single" w:sz="4" w:space="0" w:color="000000"/>
              <w:left w:val="single" w:sz="4" w:space="0" w:color="000000"/>
              <w:bottom w:val="single" w:sz="4" w:space="0" w:color="000000"/>
              <w:right w:val="single" w:sz="4" w:space="0" w:color="000000"/>
            </w:tcBorders>
          </w:tcPr>
          <w:p>
            <w:pPr>
              <w:jc w:val="right"/>
            </w:pPr>
            <w:r>
              <w:t>-61.7</w:t>
            </w:r>
          </w:p>
        </w:tc>
        <w:tc>
          <w:tcPr>
            <w:tcW w:type="dxa" w:w="1728"/>
            <w:tcBorders>
              <w:top w:val="single" w:sz="4" w:space="0" w:color="000000"/>
              <w:left w:val="single" w:sz="4" w:space="0" w:color="000000"/>
              <w:bottom w:val="single" w:sz="4" w:space="0" w:color="000000"/>
              <w:right w:val="single" w:sz="4" w:space="0" w:color="000000"/>
            </w:tcBorders>
          </w:tcPr>
          <w:p>
            <w:pPr>
              <w:jc w:val="right"/>
            </w:pPr>
            <w:r>
              <w:t>-4.3</w:t>
            </w:r>
          </w:p>
        </w:tc>
        <w:tc>
          <w:tcPr>
            <w:tcW w:type="dxa" w:w="1728"/>
            <w:tcBorders>
              <w:top w:val="single" w:sz="4" w:space="0" w:color="000000"/>
              <w:left w:val="single" w:sz="4" w:space="0" w:color="000000"/>
              <w:bottom w:val="single" w:sz="4" w:space="0" w:color="000000"/>
              <w:right w:val="single" w:sz="4" w:space="0" w:color="000000"/>
            </w:tcBorders>
          </w:tcPr>
          <w:p>
            <w:pPr>
              <w:jc w:val="right"/>
            </w:pPr>
            <w:r>
              <w:t>7.0%</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Basic SCR</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262.5</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246.6</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15.9</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6.4%</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Operational Risk</w:t>
            </w:r>
          </w:p>
        </w:tc>
        <w:tc>
          <w:tcPr>
            <w:tcW w:type="dxa" w:w="1728"/>
            <w:tcBorders>
              <w:top w:val="single" w:sz="4" w:space="0" w:color="000000"/>
              <w:left w:val="single" w:sz="4" w:space="0" w:color="000000"/>
              <w:bottom w:val="single" w:sz="4" w:space="0" w:color="000000"/>
              <w:right w:val="single" w:sz="4" w:space="0" w:color="000000"/>
            </w:tcBorders>
          </w:tcPr>
          <w:p>
            <w:pPr>
              <w:jc w:val="right"/>
            </w:pPr>
            <w:r>
              <w:t>23.5</w:t>
            </w:r>
          </w:p>
        </w:tc>
        <w:tc>
          <w:tcPr>
            <w:tcW w:type="dxa" w:w="1728"/>
            <w:tcBorders>
              <w:top w:val="single" w:sz="4" w:space="0" w:color="000000"/>
              <w:left w:val="single" w:sz="4" w:space="0" w:color="000000"/>
              <w:bottom w:val="single" w:sz="4" w:space="0" w:color="000000"/>
              <w:right w:val="single" w:sz="4" w:space="0" w:color="000000"/>
            </w:tcBorders>
          </w:tcPr>
          <w:p>
            <w:pPr>
              <w:jc w:val="right"/>
            </w:pPr>
            <w:r>
              <w:t>21.5</w:t>
            </w:r>
          </w:p>
        </w:tc>
        <w:tc>
          <w:tcPr>
            <w:tcW w:type="dxa" w:w="1728"/>
            <w:tcBorders>
              <w:top w:val="single" w:sz="4" w:space="0" w:color="000000"/>
              <w:left w:val="single" w:sz="4" w:space="0" w:color="000000"/>
              <w:bottom w:val="single" w:sz="4" w:space="0" w:color="000000"/>
              <w:right w:val="single" w:sz="4" w:space="0" w:color="000000"/>
            </w:tcBorders>
          </w:tcPr>
          <w:p>
            <w:pPr>
              <w:jc w:val="right"/>
            </w:pPr>
            <w:r>
              <w:t>2.0</w:t>
            </w:r>
          </w:p>
        </w:tc>
        <w:tc>
          <w:tcPr>
            <w:tcW w:type="dxa" w:w="1728"/>
            <w:tcBorders>
              <w:top w:val="single" w:sz="4" w:space="0" w:color="000000"/>
              <w:left w:val="single" w:sz="4" w:space="0" w:color="000000"/>
              <w:bottom w:val="single" w:sz="4" w:space="0" w:color="000000"/>
              <w:right w:val="single" w:sz="4" w:space="0" w:color="000000"/>
            </w:tcBorders>
          </w:tcPr>
          <w:p>
            <w:pPr>
              <w:jc w:val="right"/>
            </w:pPr>
            <w:r>
              <w:t>9.3%</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Deferred Tax Adjustment</w:t>
            </w:r>
          </w:p>
        </w:tc>
        <w:tc>
          <w:tcPr>
            <w:tcW w:type="dxa" w:w="1728"/>
            <w:tcBorders>
              <w:top w:val="single" w:sz="4" w:space="0" w:color="000000"/>
              <w:left w:val="single" w:sz="4" w:space="0" w:color="000000"/>
              <w:bottom w:val="single" w:sz="4" w:space="0" w:color="000000"/>
              <w:right w:val="single" w:sz="4" w:space="0" w:color="000000"/>
            </w:tcBorders>
          </w:tcPr>
          <w:p>
            <w:pPr>
              <w:jc w:val="right"/>
            </w:pPr>
            <w:r>
              <w:t>-35.0</w:t>
            </w:r>
          </w:p>
        </w:tc>
        <w:tc>
          <w:tcPr>
            <w:tcW w:type="dxa" w:w="1728"/>
            <w:tcBorders>
              <w:top w:val="single" w:sz="4" w:space="0" w:color="000000"/>
              <w:left w:val="single" w:sz="4" w:space="0" w:color="000000"/>
              <w:bottom w:val="single" w:sz="4" w:space="0" w:color="000000"/>
              <w:right w:val="single" w:sz="4" w:space="0" w:color="000000"/>
            </w:tcBorders>
          </w:tcPr>
          <w:p>
            <w:pPr>
              <w:jc w:val="right"/>
            </w:pPr>
            <w:r>
              <w:t>-33.5</w:t>
            </w:r>
          </w:p>
        </w:tc>
        <w:tc>
          <w:tcPr>
            <w:tcW w:type="dxa" w:w="1728"/>
            <w:tcBorders>
              <w:top w:val="single" w:sz="4" w:space="0" w:color="000000"/>
              <w:left w:val="single" w:sz="4" w:space="0" w:color="000000"/>
              <w:bottom w:val="single" w:sz="4" w:space="0" w:color="000000"/>
              <w:right w:val="single" w:sz="4" w:space="0" w:color="000000"/>
            </w:tcBorders>
          </w:tcPr>
          <w:p>
            <w:pPr>
              <w:jc w:val="right"/>
            </w:pPr>
            <w:r>
              <w:t>-1.5</w:t>
            </w:r>
          </w:p>
        </w:tc>
        <w:tc>
          <w:tcPr>
            <w:tcW w:type="dxa" w:w="1728"/>
            <w:tcBorders>
              <w:top w:val="single" w:sz="4" w:space="0" w:color="000000"/>
              <w:left w:val="single" w:sz="4" w:space="0" w:color="000000"/>
              <w:bottom w:val="single" w:sz="4" w:space="0" w:color="000000"/>
              <w:right w:val="single" w:sz="4" w:space="0" w:color="000000"/>
            </w:tcBorders>
          </w:tcPr>
          <w:p>
            <w:pPr>
              <w:jc w:val="right"/>
            </w:pPr>
            <w:r>
              <w:t>4.5%</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Total SCR</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251.0</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234.6</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16.4</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7.0%</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Own Funds</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362.2</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333.3</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28.9</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8.7%</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Solvency Ratio</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144.3%</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142.1%</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2.2%</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1.6%</w:t>
            </w:r>
          </w:p>
        </w:tc>
      </w:tr>
    </w:tbl>
    <w:p>
      <w:pPr>
        <w:spacing w:after="0"/>
      </w:pPr>
      <w:r>
        <w:t xml:space="preserve">The table shows that:                    </w:t>
      </w:r>
      <w:r/>
    </w:p>
    <w:p>
      <w:pPr>
        <w:pStyle w:val="ListBullet"/>
        <w:spacing w:before="0" w:after="0"/>
      </w:pPr>
      <w:r>
        <w:t>The Total SCR increased by 7.0% from €234.6m to €251.0m since the previous year.The largest contributor to the increase in the Total SCR by €16.4m is the increase in €2.0m by Operational Risk risk.</w:t>
      </w:r>
    </w:p>
    <w:p>
      <w:pPr>
        <w:pStyle w:val="ListBullet"/>
        <w:spacing w:before="0" w:after="0"/>
      </w:pPr>
      <w:r>
        <w:t>The Own Funds increased by 8.7% from €333.3m to €362.2m since the previous year.</w:t>
      </w:r>
    </w:p>
    <w:p>
      <w:pPr>
        <w:pStyle w:val="ListBullet"/>
        <w:spacing w:before="0" w:after="0"/>
      </w:pPr>
      <w:r>
        <w:t>The Solvency Ratio increased by 2.2% from 142.1% to 144.3% since the previous year.</w:t>
      </w:r>
    </w:p>
    <w:p>
      <w:pPr>
        <w:pStyle w:val="ListBullet"/>
        <w:spacing w:before="0" w:after="0"/>
      </w:pPr>
      <w:r>
        <w:t>The Market, Counterparty Default BSCR increased over the year but Life, Health BSCR decreased.</w:t>
      </w:r>
    </w:p>
    <w:p>
      <w:r>
        <w:drawing>
          <wp:inline xmlns:a="http://schemas.openxmlformats.org/drawingml/2006/main" xmlns:pic="http://schemas.openxmlformats.org/drawingml/2006/picture">
            <wp:extent cx="3200400" cy="2743200"/>
            <wp:docPr id="1" name="Picture 1"/>
            <wp:cNvGraphicFramePr>
              <a:graphicFrameLocks noChangeAspect="1"/>
            </wp:cNvGraphicFramePr>
            <a:graphic>
              <a:graphicData uri="http://schemas.openxmlformats.org/drawingml/2006/picture">
                <pic:pic>
                  <pic:nvPicPr>
                    <pic:cNvPr id="0" name="tmplskcxw3i.png"/>
                    <pic:cNvPicPr/>
                  </pic:nvPicPr>
                  <pic:blipFill>
                    <a:blip r:embed="rId9"/>
                    <a:stretch>
                      <a:fillRect/>
                    </a:stretch>
                  </pic:blipFill>
                  <pic:spPr>
                    <a:xfrm>
                      <a:off x="0" y="0"/>
                      <a:ext cx="3200400" cy="2743200"/>
                    </a:xfrm>
                    <a:prstGeom prst="rect"/>
                  </pic:spPr>
                </pic:pic>
              </a:graphicData>
            </a:graphic>
          </wp:inline>
        </w:drawing>
      </w:r>
    </w:p>
    <w:p>
      <w:r>
        <w:rPr>
          <w:i/>
          <w:sz w:val="20"/>
        </w:rPr>
        <w:t>Figure 1: Composition of the Basic SCR - 2026</w:t>
      </w:r>
    </w:p>
    <w:p>
      <w:r>
        <w:drawing>
          <wp:inline xmlns:a="http://schemas.openxmlformats.org/drawingml/2006/main" xmlns:pic="http://schemas.openxmlformats.org/drawingml/2006/picture">
            <wp:extent cx="3200400" cy="2743200"/>
            <wp:docPr id="2" name="Picture 2"/>
            <wp:cNvGraphicFramePr>
              <a:graphicFrameLocks noChangeAspect="1"/>
            </wp:cNvGraphicFramePr>
            <a:graphic>
              <a:graphicData uri="http://schemas.openxmlformats.org/drawingml/2006/picture">
                <pic:pic>
                  <pic:nvPicPr>
                    <pic:cNvPr id="0" name="tmp5tt_nvvp.png"/>
                    <pic:cNvPicPr/>
                  </pic:nvPicPr>
                  <pic:blipFill>
                    <a:blip r:embed="rId10"/>
                    <a:stretch>
                      <a:fillRect/>
                    </a:stretch>
                  </pic:blipFill>
                  <pic:spPr>
                    <a:xfrm>
                      <a:off x="0" y="0"/>
                      <a:ext cx="3200400" cy="2743200"/>
                    </a:xfrm>
                    <a:prstGeom prst="rect"/>
                  </pic:spPr>
                </pic:pic>
              </a:graphicData>
            </a:graphic>
          </wp:inline>
        </w:drawing>
      </w:r>
    </w:p>
    <w:p>
      <w:r>
        <w:rPr>
          <w:i/>
          <w:sz w:val="20"/>
        </w:rPr>
        <w:t>Figure 2: Composition of the Basic SCR - 2025</w:t>
      </w:r>
    </w:p>
    <w:p>
      <w:pPr>
        <w:spacing w:after="0"/>
      </w:pPr>
      <w:r>
        <w:t xml:space="preserve">The proportion of Market, Counterparty Default BSCR increased over the year but proportion of Life, Health BSCR decreased. The increase in Life and Health risks is due to growth in business volume. Most of the growth came from Health Risks due to the introduction of a new product called ProtectMe.        </w:t>
      </w:r>
    </w:p>
    <w:p>
      <w:pPr>
        <w:spacing w:before="120"/>
      </w:pPr>
      <w:r>
        <w:rPr>
          <w:b/>
          <w:sz w:val="28"/>
        </w:rPr>
        <w:t>3. Conclusion</w:t>
      </w:r>
    </w:p>
    <w:p>
      <w:pPr>
        <w:spacing w:after="0"/>
      </w:pPr>
      <w:r>
        <w:t xml:space="preserve">The Company's solvency ratio of 144.3% is above its target of 125.0%. </w:t>
      </w:r>
      <w: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