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06D7C0" w14:textId="22B7B94A" w:rsidR="009761EE" w:rsidRDefault="009761EE" w:rsidP="00670F39">
      <w:pPr>
        <w:pStyle w:val="Ttulo1"/>
      </w:pPr>
      <w:r>
        <w:t>Órgãos, Normas e Resoluções</w:t>
      </w:r>
    </w:p>
    <w:p w14:paraId="2CD15613" w14:textId="3DF5E960" w:rsidR="00FF77B9" w:rsidRDefault="00FF77B9" w:rsidP="009761EE">
      <w:pPr>
        <w:pStyle w:val="Ttulo2"/>
      </w:pPr>
      <w:r w:rsidRPr="00FF77B9">
        <w:t>Órgão</w:t>
      </w:r>
      <w:r>
        <w:t>s</w:t>
      </w:r>
      <w:r w:rsidRPr="00FF77B9">
        <w:t xml:space="preserve"> que regulamenta</w:t>
      </w:r>
      <w:r>
        <w:t>m</w:t>
      </w:r>
      <w:r w:rsidRPr="00FF77B9">
        <w:t xml:space="preserve"> os procedimentos de tratamento de saúde no Brasil</w:t>
      </w:r>
    </w:p>
    <w:p w14:paraId="205E7607" w14:textId="77777777" w:rsidR="00FF77B9" w:rsidRPr="00FF77B9" w:rsidRDefault="00FF77B9" w:rsidP="00670F39">
      <w:r w:rsidRPr="00FF77B9">
        <w:t>1. Agência Nacional de Saúde Suplementar (ANS)</w:t>
      </w:r>
    </w:p>
    <w:p w14:paraId="62E2AA9B" w14:textId="6BE24D35" w:rsidR="00FF77B9" w:rsidRPr="00FF77B9" w:rsidRDefault="00FF77B9" w:rsidP="00836DA8">
      <w:pPr>
        <w:pStyle w:val="PargrafodaLista"/>
        <w:numPr>
          <w:ilvl w:val="0"/>
          <w:numId w:val="2"/>
        </w:numPr>
      </w:pPr>
      <w:r w:rsidRPr="00670F39">
        <w:rPr>
          <w:b/>
          <w:bCs/>
        </w:rPr>
        <w:t>Papel:</w:t>
      </w:r>
      <w:r w:rsidR="006363FD">
        <w:t xml:space="preserve"> </w:t>
      </w:r>
      <w:r w:rsidRPr="00FF77B9">
        <w:t>É o principal regulador para quem possui planos de saúde (saúde suplementar).</w:t>
      </w:r>
    </w:p>
    <w:p w14:paraId="2CB7E1C3" w14:textId="528F8450" w:rsidR="00FF77B9" w:rsidRPr="00FF77B9" w:rsidRDefault="00FF77B9" w:rsidP="00836DA8">
      <w:pPr>
        <w:pStyle w:val="PargrafodaLista"/>
        <w:numPr>
          <w:ilvl w:val="0"/>
          <w:numId w:val="2"/>
        </w:numPr>
      </w:pPr>
      <w:r w:rsidRPr="00670F39">
        <w:rPr>
          <w:b/>
          <w:bCs/>
        </w:rPr>
        <w:t>O que faz:</w:t>
      </w:r>
      <w:r w:rsidR="006363FD">
        <w:t xml:space="preserve"> </w:t>
      </w:r>
      <w:r w:rsidRPr="00FF77B9">
        <w:t>Define a lista de procedimentos que todos os planos de saúde são obrigados a cobrir, chamada de</w:t>
      </w:r>
      <w:r w:rsidR="006363FD">
        <w:t xml:space="preserve"> </w:t>
      </w:r>
      <w:r w:rsidRPr="00670F39">
        <w:rPr>
          <w:b/>
          <w:bCs/>
        </w:rPr>
        <w:t>Rol de Procedimentos e Eventos em Saúde</w:t>
      </w:r>
      <w:r w:rsidRPr="00FF77B9">
        <w:t>. Também estabelece regras para contratos, reajustes de mensalidades e fiscaliza as operadoras de planos de saúde.</w:t>
      </w:r>
    </w:p>
    <w:p w14:paraId="255CCD6F" w14:textId="77777777" w:rsidR="00FF77B9" w:rsidRPr="00FF77B9" w:rsidRDefault="00FF77B9" w:rsidP="00670F39">
      <w:r w:rsidRPr="00FF77B9">
        <w:t>2. Ministério da Saúde / Secretarias Estaduais e Municipais de Saúde</w:t>
      </w:r>
    </w:p>
    <w:p w14:paraId="7441DBC2" w14:textId="7A679C4D" w:rsidR="00FF77B9" w:rsidRPr="00FF77B9" w:rsidRDefault="00FF77B9" w:rsidP="00836DA8">
      <w:pPr>
        <w:pStyle w:val="PargrafodaLista"/>
        <w:numPr>
          <w:ilvl w:val="0"/>
          <w:numId w:val="3"/>
        </w:numPr>
      </w:pPr>
      <w:r w:rsidRPr="00670F39">
        <w:rPr>
          <w:b/>
          <w:bCs/>
        </w:rPr>
        <w:t>Papel:</w:t>
      </w:r>
      <w:r w:rsidR="006363FD">
        <w:t xml:space="preserve"> </w:t>
      </w:r>
      <w:r w:rsidRPr="00FF77B9">
        <w:t>Regulamenta e gerencia o</w:t>
      </w:r>
      <w:r w:rsidR="006363FD">
        <w:t xml:space="preserve"> </w:t>
      </w:r>
      <w:r w:rsidRPr="00670F39">
        <w:rPr>
          <w:b/>
          <w:bCs/>
        </w:rPr>
        <w:t>Sistema Único de Saúde (SUS)</w:t>
      </w:r>
      <w:r w:rsidRPr="00FF77B9">
        <w:t>, que é público e universal.</w:t>
      </w:r>
    </w:p>
    <w:p w14:paraId="1D98A9C6" w14:textId="15BA1CB2" w:rsidR="00FF77B9" w:rsidRPr="00FF77B9" w:rsidRDefault="00FF77B9" w:rsidP="00836DA8">
      <w:pPr>
        <w:pStyle w:val="PargrafodaLista"/>
        <w:numPr>
          <w:ilvl w:val="0"/>
          <w:numId w:val="3"/>
        </w:numPr>
      </w:pPr>
      <w:r w:rsidRPr="00670F39">
        <w:rPr>
          <w:b/>
          <w:bCs/>
        </w:rPr>
        <w:t>O que faz:</w:t>
      </w:r>
      <w:r w:rsidR="006363FD">
        <w:t xml:space="preserve"> </w:t>
      </w:r>
      <w:r w:rsidRPr="00FF77B9">
        <w:t>Define os procedimentos, medicamentos e políticas de saúde que estão disponíveis para a população gratuitamente. Atua por meio de portarias, normas e programas nacionais (ex.: Programa Nacional de Imunização, tratamento para câncer, etc.). As secretarias estaduais e municipais adaptam e implementam essas diretrizes em suas regiões.</w:t>
      </w:r>
    </w:p>
    <w:p w14:paraId="04B5D3FF" w14:textId="77777777" w:rsidR="00FF77B9" w:rsidRPr="00FF77B9" w:rsidRDefault="00FF77B9" w:rsidP="00670F39">
      <w:r w:rsidRPr="00FF77B9">
        <w:t>3. Agência Nacional de Vigilância Sanitária (Anvisa)</w:t>
      </w:r>
    </w:p>
    <w:p w14:paraId="4E92808E" w14:textId="0F3C7F2B" w:rsidR="00FF77B9" w:rsidRPr="00FF77B9" w:rsidRDefault="00FF77B9" w:rsidP="00836DA8">
      <w:pPr>
        <w:pStyle w:val="PargrafodaLista"/>
        <w:numPr>
          <w:ilvl w:val="0"/>
          <w:numId w:val="4"/>
        </w:numPr>
      </w:pPr>
      <w:r w:rsidRPr="00670F39">
        <w:rPr>
          <w:b/>
          <w:bCs/>
        </w:rPr>
        <w:t>Papel:</w:t>
      </w:r>
      <w:r w:rsidR="006363FD">
        <w:t xml:space="preserve"> </w:t>
      </w:r>
      <w:r w:rsidRPr="00FF77B9">
        <w:t>Regulamenta tudo o que envolve a</w:t>
      </w:r>
      <w:r w:rsidR="006363FD">
        <w:t xml:space="preserve"> </w:t>
      </w:r>
      <w:r w:rsidRPr="00670F39">
        <w:rPr>
          <w:b/>
          <w:bCs/>
        </w:rPr>
        <w:t>segurança</w:t>
      </w:r>
      <w:r w:rsidR="006363FD">
        <w:t xml:space="preserve"> </w:t>
      </w:r>
      <w:r w:rsidRPr="00FF77B9">
        <w:t>de produtos e serviços de saúde</w:t>
      </w:r>
      <w:r w:rsidR="004A648E">
        <w:t>;</w:t>
      </w:r>
    </w:p>
    <w:p w14:paraId="655A93C9" w14:textId="75099234" w:rsidR="00FF77B9" w:rsidRPr="00FF77B9" w:rsidRDefault="00FF77B9" w:rsidP="00836DA8">
      <w:pPr>
        <w:pStyle w:val="PargrafodaLista"/>
        <w:numPr>
          <w:ilvl w:val="0"/>
          <w:numId w:val="4"/>
        </w:numPr>
      </w:pPr>
      <w:r w:rsidRPr="00670F39">
        <w:rPr>
          <w:b/>
          <w:bCs/>
        </w:rPr>
        <w:t>O que faz:</w:t>
      </w:r>
      <w:r w:rsidR="006363FD">
        <w:t xml:space="preserve"> </w:t>
      </w:r>
      <w:r w:rsidRPr="00FF77B9">
        <w:t>Controla a registro e qualidade de medicamentos, alimentos, cosméticos, sangue e hemoderivados. Também regulamenta equipamentos médicos (como respiradores e marcapassos) e define normas para o funcionamento de hospitais, clínicas e laboratórios (ex.: controle de infecções).</w:t>
      </w:r>
    </w:p>
    <w:p w14:paraId="5EE47BCE" w14:textId="77777777" w:rsidR="00FF77B9" w:rsidRPr="00FF77B9" w:rsidRDefault="00FF77B9" w:rsidP="00670F39">
      <w:r w:rsidRPr="00FF77B9">
        <w:t>4. Conselho Federal de Medicina (CFM) e Conselhos Regionais de Medicina (</w:t>
      </w:r>
      <w:proofErr w:type="spellStart"/>
      <w:r w:rsidRPr="00FF77B9">
        <w:t>CRMs</w:t>
      </w:r>
      <w:proofErr w:type="spellEnd"/>
      <w:r w:rsidRPr="00FF77B9">
        <w:t>)</w:t>
      </w:r>
    </w:p>
    <w:p w14:paraId="7E6E7C5A" w14:textId="48600270" w:rsidR="00FF77B9" w:rsidRPr="00FF77B9" w:rsidRDefault="00FF77B9" w:rsidP="00836DA8">
      <w:pPr>
        <w:pStyle w:val="PargrafodaLista"/>
        <w:numPr>
          <w:ilvl w:val="0"/>
          <w:numId w:val="5"/>
        </w:numPr>
      </w:pPr>
      <w:r w:rsidRPr="00FF77B9">
        <w:t>Papel:</w:t>
      </w:r>
      <w:r w:rsidR="006363FD">
        <w:t xml:space="preserve"> </w:t>
      </w:r>
      <w:r w:rsidRPr="00FF77B9">
        <w:t>Regulamenta o</w:t>
      </w:r>
      <w:r w:rsidR="006363FD">
        <w:t xml:space="preserve"> </w:t>
      </w:r>
      <w:r w:rsidRPr="00FF77B9">
        <w:t>exercício profissional dos médicos</w:t>
      </w:r>
      <w:r w:rsidR="004A648E">
        <w:t>;</w:t>
      </w:r>
    </w:p>
    <w:p w14:paraId="6FA585D3" w14:textId="32BC1111" w:rsidR="00FF77B9" w:rsidRPr="00FF77B9" w:rsidRDefault="00FF77B9" w:rsidP="00836DA8">
      <w:pPr>
        <w:pStyle w:val="PargrafodaLista"/>
        <w:numPr>
          <w:ilvl w:val="0"/>
          <w:numId w:val="5"/>
        </w:numPr>
      </w:pPr>
      <w:r w:rsidRPr="00670F39">
        <w:rPr>
          <w:b/>
          <w:bCs/>
        </w:rPr>
        <w:t>O que faz:</w:t>
      </w:r>
      <w:r w:rsidR="006363FD">
        <w:t xml:space="preserve"> </w:t>
      </w:r>
      <w:r w:rsidRPr="00FF77B9">
        <w:t>Define as normas éticas e técnicas para a prática médica, incluindo a emissão de resoluções que determinam quais procedimentos são considerados adequados e éticos. É o CFM, por exemplo, que emite as resoluções sobre o uso de novas tecnologias e técnicas cirúrgicas.</w:t>
      </w:r>
    </w:p>
    <w:p w14:paraId="00575BAF" w14:textId="77777777" w:rsidR="00FF77B9" w:rsidRDefault="00FF77B9" w:rsidP="004A648E">
      <w:r>
        <w:t>Resumo Prático:</w:t>
      </w:r>
    </w:p>
    <w:p w14:paraId="158CC5C1" w14:textId="77777777" w:rsidR="004A648E" w:rsidRDefault="004A648E" w:rsidP="00836DA8">
      <w:pPr>
        <w:pStyle w:val="PargrafodaLista"/>
        <w:numPr>
          <w:ilvl w:val="0"/>
          <w:numId w:val="15"/>
        </w:numPr>
      </w:pPr>
      <w:r>
        <w:t>Para um Plano de Saúde: O órgão chave é a ANS;</w:t>
      </w:r>
    </w:p>
    <w:p w14:paraId="548B2FC4" w14:textId="77777777" w:rsidR="004A648E" w:rsidRDefault="004A648E" w:rsidP="00836DA8">
      <w:pPr>
        <w:pStyle w:val="PargrafodaLista"/>
        <w:numPr>
          <w:ilvl w:val="0"/>
          <w:numId w:val="15"/>
        </w:numPr>
      </w:pPr>
      <w:r>
        <w:t>Para o SUS (Sistema Público): O órgão chave é o Ministério da Saúde e as secretarias locais;</w:t>
      </w:r>
    </w:p>
    <w:p w14:paraId="7AB443F2" w14:textId="77777777" w:rsidR="004A648E" w:rsidRDefault="004A648E" w:rsidP="00836DA8">
      <w:pPr>
        <w:pStyle w:val="PargrafodaLista"/>
        <w:numPr>
          <w:ilvl w:val="0"/>
          <w:numId w:val="15"/>
        </w:numPr>
      </w:pPr>
      <w:r>
        <w:t>Para a Segurança de um Medicamento ou Equipamento: O órgão chave é a Anvisa;</w:t>
      </w:r>
    </w:p>
    <w:p w14:paraId="03FBA9A2" w14:textId="709FA1A2" w:rsidR="004A648E" w:rsidRDefault="004A648E" w:rsidP="00836DA8">
      <w:pPr>
        <w:pStyle w:val="PargrafodaLista"/>
        <w:numPr>
          <w:ilvl w:val="0"/>
          <w:numId w:val="15"/>
        </w:numPr>
      </w:pPr>
      <w:r>
        <w:t>Para a Ética e a Prática Médica: O órgão chave é o CFM/CRM.</w:t>
      </w:r>
    </w:p>
    <w:p w14:paraId="021D8D05" w14:textId="73BF10FD" w:rsidR="00FF77B9" w:rsidRDefault="00FF77B9" w:rsidP="00670F39">
      <w:r w:rsidRPr="00FF77B9">
        <w:t>Em muitos casos, esses órgãos atuam em conjunto. Por exemplo, para um novo tratamento ser incorporado ao rol da ANS, ele precisa ter eficácia comprovada (o que muitas vezes envolve a avaliação do CFM sobre a técnica) e o produto utilizado (um medicamento ou equipamento) precisa ser aprovado pela Anvisa.</w:t>
      </w:r>
    </w:p>
    <w:p w14:paraId="3561DF8E" w14:textId="4597B068" w:rsidR="00FF77B9" w:rsidRDefault="00FF77B9" w:rsidP="00670F39">
      <w:r w:rsidRPr="00670F39">
        <w:t>Portanto, a resposta completa é:</w:t>
      </w:r>
      <w:r w:rsidR="006363FD" w:rsidRPr="00670F39">
        <w:t xml:space="preserve"> </w:t>
      </w:r>
      <w:r w:rsidRPr="00670F39">
        <w:t>A regulação dos procedimentos de saúde no Brasil é uma competência compartilhada, principalmente entre a ANS (para planos de saúde), o Ministério da Saúde (para o SUS), a Anvisa (para vigilância sanitária) e o CFM (para a prática médica).</w:t>
      </w:r>
    </w:p>
    <w:p w14:paraId="67575055" w14:textId="77777777" w:rsidR="00670F39" w:rsidRPr="00670F39" w:rsidRDefault="00670F39" w:rsidP="00670F39"/>
    <w:p w14:paraId="59498E62" w14:textId="75E83C96" w:rsidR="00FF77B9" w:rsidRDefault="00FF77B9" w:rsidP="00670F39">
      <w:r>
        <w:br w:type="page"/>
      </w:r>
    </w:p>
    <w:p w14:paraId="6969316A" w14:textId="40D36857" w:rsidR="00FF77B9" w:rsidRDefault="00670F39" w:rsidP="009761EE">
      <w:pPr>
        <w:pStyle w:val="Ttulo2"/>
      </w:pPr>
      <w:r>
        <w:lastRenderedPageBreak/>
        <w:t>N</w:t>
      </w:r>
      <w:r w:rsidR="008B1766" w:rsidRPr="008B1766">
        <w:t>ormas da Anvisa que tratam sobre a aplicação dos procedimentos de cuidados a pacientes em ambientes hospitalares</w:t>
      </w:r>
    </w:p>
    <w:p w14:paraId="57F93345" w14:textId="6E727240" w:rsidR="006A1293" w:rsidRPr="006A1293" w:rsidRDefault="006A1293" w:rsidP="00670F39">
      <w:r w:rsidRPr="006A1293">
        <w:t>A ANVISA (Agência Nacional de Vigilância Sanitária) não emite uma norma única e específica chamada "Manual de Procedimentos de Cuidado ao Paciente". Em vez disso, a regulação é feita por meio de um conjunto de</w:t>
      </w:r>
      <w:r w:rsidR="006363FD">
        <w:t xml:space="preserve"> </w:t>
      </w:r>
      <w:r w:rsidRPr="006A1293">
        <w:rPr>
          <w:b/>
          <w:bCs/>
        </w:rPr>
        <w:t>Resoluções da Diretoria Colegiada (</w:t>
      </w:r>
      <w:proofErr w:type="spellStart"/>
      <w:r w:rsidRPr="006A1293">
        <w:rPr>
          <w:b/>
          <w:bCs/>
        </w:rPr>
        <w:t>RDCs</w:t>
      </w:r>
      <w:proofErr w:type="spellEnd"/>
      <w:r w:rsidRPr="006A1293">
        <w:rPr>
          <w:b/>
          <w:bCs/>
        </w:rPr>
        <w:t>)</w:t>
      </w:r>
      <w:r w:rsidR="006363FD">
        <w:t xml:space="preserve"> </w:t>
      </w:r>
      <w:r w:rsidRPr="006A1293">
        <w:t>e</w:t>
      </w:r>
      <w:r w:rsidR="006363FD">
        <w:t xml:space="preserve"> </w:t>
      </w:r>
      <w:r w:rsidRPr="006A1293">
        <w:rPr>
          <w:b/>
          <w:bCs/>
        </w:rPr>
        <w:t>Instruções Normativas (</w:t>
      </w:r>
      <w:proofErr w:type="spellStart"/>
      <w:r w:rsidRPr="006A1293">
        <w:rPr>
          <w:b/>
          <w:bCs/>
        </w:rPr>
        <w:t>INs</w:t>
      </w:r>
      <w:proofErr w:type="spellEnd"/>
      <w:r w:rsidRPr="006A1293">
        <w:rPr>
          <w:b/>
          <w:bCs/>
        </w:rPr>
        <w:t>)</w:t>
      </w:r>
      <w:r w:rsidR="006363FD">
        <w:t xml:space="preserve"> </w:t>
      </w:r>
      <w:r w:rsidRPr="006A1293">
        <w:t>que estabelecem requisitos para os serviços de saúde, cujo cumprimento garante a segurança e a qualidade dos cuidados.</w:t>
      </w:r>
    </w:p>
    <w:p w14:paraId="0E30B416" w14:textId="116F0922" w:rsidR="006A1293" w:rsidRPr="006A1293" w:rsidRDefault="006A1293" w:rsidP="00670F39">
      <w:r w:rsidRPr="006A1293">
        <w:t>As normas da ANVISA focam na</w:t>
      </w:r>
      <w:r w:rsidR="006363FD">
        <w:t xml:space="preserve"> </w:t>
      </w:r>
      <w:r w:rsidRPr="006A1293">
        <w:rPr>
          <w:b/>
          <w:bCs/>
        </w:rPr>
        <w:t>estrutura, nos processos e na prevenção de riscos</w:t>
      </w:r>
      <w:r w:rsidRPr="006A1293">
        <w:t xml:space="preserve">, e não na técnica clínica em si (que é de competência dos conselhos profissionais, como o CFM e o </w:t>
      </w:r>
      <w:proofErr w:type="spellStart"/>
      <w:r w:rsidRPr="006A1293">
        <w:t>Cofen</w:t>
      </w:r>
      <w:proofErr w:type="spellEnd"/>
      <w:r w:rsidRPr="006A1293">
        <w:t>).</w:t>
      </w:r>
    </w:p>
    <w:p w14:paraId="7D79778C" w14:textId="77777777" w:rsidR="006A1293" w:rsidRPr="006A1293" w:rsidRDefault="006A1293" w:rsidP="00670F39">
      <w:r w:rsidRPr="006A1293">
        <w:t>Abaixo, estão as principais normas da ANVISA que regulamentam a aplicação de procedimentos de cuidados a pacientes em ambientes hospitalares, categorizadas por tema:</w:t>
      </w:r>
    </w:p>
    <w:p w14:paraId="5979F749" w14:textId="3D1C206D" w:rsidR="006A1293" w:rsidRPr="009761EE" w:rsidRDefault="006A1293" w:rsidP="009761EE">
      <w:pPr>
        <w:rPr>
          <w:b/>
          <w:bCs/>
        </w:rPr>
      </w:pPr>
      <w:r w:rsidRPr="009761EE">
        <w:rPr>
          <w:b/>
          <w:bCs/>
        </w:rPr>
        <w:t>1.Norma Geral Estrutural: Os Requisitos Essenciais para Funcionamento</w:t>
      </w:r>
    </w:p>
    <w:p w14:paraId="3710879B" w14:textId="77777777" w:rsidR="006A1293" w:rsidRPr="006A1293" w:rsidRDefault="006A1293" w:rsidP="00670F39">
      <w:r w:rsidRPr="006A1293">
        <w:t>Esta é a norma mais abrangente, que define a "espinha dorsal" dos requisitos para qualquer hospital.</w:t>
      </w:r>
    </w:p>
    <w:p w14:paraId="102F2838" w14:textId="740318EB" w:rsidR="006A1293" w:rsidRPr="006A1293" w:rsidRDefault="006A1293" w:rsidP="00836DA8">
      <w:pPr>
        <w:pStyle w:val="PargrafodaLista"/>
        <w:numPr>
          <w:ilvl w:val="0"/>
          <w:numId w:val="6"/>
        </w:numPr>
      </w:pPr>
      <w:r w:rsidRPr="006A1293">
        <w:t>RDC nº 50, de 21 de fevereiro de 2002:</w:t>
      </w:r>
      <w:r w:rsidR="006363FD">
        <w:t xml:space="preserve"> </w:t>
      </w:r>
      <w:r w:rsidRPr="006A1293">
        <w:t>"Dispõe sobre o regulamento técnico para planejamento, programação, elaboração e avaliação de projetos físicos de estabelecimentos assistenciais de saúde."</w:t>
      </w:r>
    </w:p>
    <w:p w14:paraId="7C2696D3" w14:textId="6BBFE318" w:rsidR="006A1293" w:rsidRPr="006A1293" w:rsidRDefault="006A1293" w:rsidP="00836DA8">
      <w:pPr>
        <w:pStyle w:val="PargrafodaLista"/>
        <w:numPr>
          <w:ilvl w:val="1"/>
          <w:numId w:val="6"/>
        </w:numPr>
      </w:pPr>
      <w:r w:rsidRPr="00670F39">
        <w:rPr>
          <w:b/>
          <w:bCs/>
        </w:rPr>
        <w:t>O que trata:</w:t>
      </w:r>
      <w:r w:rsidR="006363FD">
        <w:t xml:space="preserve"> </w:t>
      </w:r>
      <w:r w:rsidRPr="006A1293">
        <w:t>Define os requisitos mínimos de infraestrutura física. Isso inclui tamanho de quartos, circulação, número de banheiros, áreas de apoio (farmácia, lactário, cozinha), fluxos (limpo x sujo) e instalações específicas como UTI, Centro Cirúrgico e Pronto-Socorro. Um ambiente bem planejado é a base para a execução segura de qualquer procedimento.</w:t>
      </w:r>
    </w:p>
    <w:p w14:paraId="6F751C7A" w14:textId="77777777" w:rsidR="006A1293" w:rsidRPr="009761EE" w:rsidRDefault="006A1293" w:rsidP="009761EE">
      <w:pPr>
        <w:rPr>
          <w:b/>
          <w:bCs/>
        </w:rPr>
      </w:pPr>
      <w:r w:rsidRPr="009761EE">
        <w:rPr>
          <w:b/>
          <w:bCs/>
        </w:rPr>
        <w:t>2. Normas para Prevenção e Controle de Infecções Relacionadas à Assistência à Saúde (IRAS)</w:t>
      </w:r>
    </w:p>
    <w:p w14:paraId="7AD27006" w14:textId="77777777" w:rsidR="006A1293" w:rsidRPr="006A1293" w:rsidRDefault="006A1293" w:rsidP="00670F39">
      <w:r w:rsidRPr="006A1293">
        <w:t>Este é um dos pilares mais críticos da atuação da ANVISA no ambiente hospitalar.</w:t>
      </w:r>
    </w:p>
    <w:p w14:paraId="7620922F" w14:textId="0605198F" w:rsidR="006A1293" w:rsidRPr="006A1293" w:rsidRDefault="006A1293" w:rsidP="00836DA8">
      <w:pPr>
        <w:pStyle w:val="PargrafodaLista"/>
        <w:numPr>
          <w:ilvl w:val="0"/>
          <w:numId w:val="7"/>
        </w:numPr>
      </w:pPr>
      <w:r w:rsidRPr="006A1293">
        <w:t>RDC nº 222, de 28 de março de 2018:</w:t>
      </w:r>
      <w:r w:rsidR="006363FD">
        <w:t xml:space="preserve"> </w:t>
      </w:r>
      <w:r w:rsidRPr="006A1293">
        <w:t>"Dispõe sobre as boas práticas de gerenciamento dos resíduos de serviços de saúde."</w:t>
      </w:r>
    </w:p>
    <w:p w14:paraId="5A950697" w14:textId="2D1DD6EA" w:rsidR="006A1293" w:rsidRPr="006A1293" w:rsidRDefault="006A1293" w:rsidP="00836DA8">
      <w:pPr>
        <w:pStyle w:val="PargrafodaLista"/>
        <w:numPr>
          <w:ilvl w:val="1"/>
          <w:numId w:val="7"/>
        </w:numPr>
      </w:pPr>
      <w:r w:rsidRPr="00670F39">
        <w:rPr>
          <w:b/>
          <w:bCs/>
        </w:rPr>
        <w:t>O que trata:</w:t>
      </w:r>
      <w:r w:rsidR="006363FD">
        <w:t xml:space="preserve"> </w:t>
      </w:r>
      <w:r w:rsidRPr="006A1293">
        <w:t>Estabelece os critérios para o correto manejo, acondicionamento, coleta, transporte e destinação final dos resíduos hospitalares (perfurocortantes, químicos, infectantes, etc.), crucial para proteger pacientes, profissionais e o meio ambiente.</w:t>
      </w:r>
    </w:p>
    <w:p w14:paraId="222AAFE4" w14:textId="361B3A3D" w:rsidR="006A1293" w:rsidRPr="006A1293" w:rsidRDefault="006A1293" w:rsidP="00836DA8">
      <w:pPr>
        <w:pStyle w:val="PargrafodaLista"/>
        <w:numPr>
          <w:ilvl w:val="0"/>
          <w:numId w:val="7"/>
        </w:numPr>
      </w:pPr>
      <w:r w:rsidRPr="006A1293">
        <w:t>RDC nº 67, de 8 de dezembro de 2020 (Alterada pela RDC nº 672/2022):</w:t>
      </w:r>
      <w:r w:rsidR="006363FD">
        <w:t xml:space="preserve"> </w:t>
      </w:r>
      <w:r w:rsidRPr="006A1293">
        <w:t>"Dispõe sobre os requisitos mínimos para a atuação dos serviços de saúde no controle de infecções relacionadas à assistência."</w:t>
      </w:r>
    </w:p>
    <w:p w14:paraId="5AAA79EB" w14:textId="1DF29204" w:rsidR="006A1293" w:rsidRPr="006A1293" w:rsidRDefault="006A1293" w:rsidP="00836DA8">
      <w:pPr>
        <w:pStyle w:val="PargrafodaLista"/>
        <w:numPr>
          <w:ilvl w:val="1"/>
          <w:numId w:val="7"/>
        </w:numPr>
      </w:pPr>
      <w:r w:rsidRPr="00670F39">
        <w:rPr>
          <w:b/>
          <w:bCs/>
        </w:rPr>
        <w:t>O que trata:</w:t>
      </w:r>
      <w:r w:rsidR="006363FD">
        <w:t xml:space="preserve"> </w:t>
      </w:r>
      <w:r w:rsidRPr="006A1293">
        <w:t>É a norma principal para a</w:t>
      </w:r>
      <w:r w:rsidR="006363FD">
        <w:t xml:space="preserve"> </w:t>
      </w:r>
      <w:r w:rsidRPr="00670F39">
        <w:rPr>
          <w:b/>
          <w:bCs/>
        </w:rPr>
        <w:t>CCIH (Comissão de Controle de Infecção Hospitalar)</w:t>
      </w:r>
      <w:r w:rsidRPr="006A1293">
        <w:t>. Estabelece a obrigatoriedade do programa de controle de infecção, define a estrutura necessária (como a existência de um profissional dedicado), as ações de vigilância, e os protocolos obrigatórios para:</w:t>
      </w:r>
    </w:p>
    <w:p w14:paraId="59142022" w14:textId="77777777" w:rsidR="006A1293" w:rsidRPr="006A1293" w:rsidRDefault="006A1293" w:rsidP="00836DA8">
      <w:pPr>
        <w:pStyle w:val="PargrafodaLista"/>
        <w:numPr>
          <w:ilvl w:val="2"/>
          <w:numId w:val="7"/>
        </w:numPr>
      </w:pPr>
      <w:r w:rsidRPr="006A1293">
        <w:t>Higienização das mãos.</w:t>
      </w:r>
    </w:p>
    <w:p w14:paraId="7421AA8A" w14:textId="77777777" w:rsidR="006A1293" w:rsidRPr="006A1293" w:rsidRDefault="006A1293" w:rsidP="00836DA8">
      <w:pPr>
        <w:pStyle w:val="PargrafodaLista"/>
        <w:numPr>
          <w:ilvl w:val="2"/>
          <w:numId w:val="7"/>
        </w:numPr>
      </w:pPr>
      <w:r w:rsidRPr="006A1293">
        <w:t>Precauções e isolamentos.</w:t>
      </w:r>
    </w:p>
    <w:p w14:paraId="4A986971" w14:textId="77777777" w:rsidR="006A1293" w:rsidRPr="006A1293" w:rsidRDefault="006A1293" w:rsidP="00836DA8">
      <w:pPr>
        <w:pStyle w:val="PargrafodaLista"/>
        <w:numPr>
          <w:ilvl w:val="2"/>
          <w:numId w:val="7"/>
        </w:numPr>
      </w:pPr>
      <w:r w:rsidRPr="006A1293">
        <w:t>Uso racional de antimicrobianos.</w:t>
      </w:r>
    </w:p>
    <w:p w14:paraId="5411F0E3" w14:textId="77777777" w:rsidR="006A1293" w:rsidRPr="006A1293" w:rsidRDefault="006A1293" w:rsidP="00836DA8">
      <w:pPr>
        <w:pStyle w:val="PargrafodaLista"/>
        <w:numPr>
          <w:ilvl w:val="2"/>
          <w:numId w:val="7"/>
        </w:numPr>
      </w:pPr>
      <w:r w:rsidRPr="006A1293">
        <w:t>Limpeza e desinfecção de superfícies e ambientes.</w:t>
      </w:r>
    </w:p>
    <w:p w14:paraId="4F531054" w14:textId="7BD4AE54" w:rsidR="006A1293" w:rsidRDefault="006A1293" w:rsidP="00836DA8">
      <w:pPr>
        <w:pStyle w:val="PargrafodaLista"/>
        <w:numPr>
          <w:ilvl w:val="2"/>
          <w:numId w:val="7"/>
        </w:numPr>
      </w:pPr>
      <w:r w:rsidRPr="006A1293">
        <w:t>Processamento de produtos para saúde (esterilização de materiais).</w:t>
      </w:r>
    </w:p>
    <w:p w14:paraId="759425F6" w14:textId="77777777" w:rsidR="00C20FBF" w:rsidRDefault="00C20FBF">
      <w:pPr>
        <w:spacing w:before="0" w:after="160" w:line="259" w:lineRule="auto"/>
        <w:jc w:val="left"/>
      </w:pPr>
    </w:p>
    <w:p w14:paraId="2930B57E" w14:textId="19693E9F" w:rsidR="00C20FBF" w:rsidRDefault="00C20FBF">
      <w:pPr>
        <w:spacing w:before="0" w:after="160" w:line="259" w:lineRule="auto"/>
        <w:jc w:val="left"/>
      </w:pPr>
      <w:r>
        <w:br w:type="page"/>
      </w:r>
    </w:p>
    <w:p w14:paraId="40A63484" w14:textId="77777777" w:rsidR="006A1293" w:rsidRPr="009761EE" w:rsidRDefault="006A1293" w:rsidP="009761EE">
      <w:pPr>
        <w:rPr>
          <w:b/>
          <w:bCs/>
        </w:rPr>
      </w:pPr>
      <w:r w:rsidRPr="009761EE">
        <w:rPr>
          <w:b/>
          <w:bCs/>
        </w:rPr>
        <w:lastRenderedPageBreak/>
        <w:t>3. Normas para Segurança do Paciente</w:t>
      </w:r>
    </w:p>
    <w:p w14:paraId="4339892A" w14:textId="77777777" w:rsidR="006A1293" w:rsidRPr="006A1293" w:rsidRDefault="006A1293" w:rsidP="00670F39">
      <w:r w:rsidRPr="006A1293">
        <w:t xml:space="preserve">Este conjunto de normas tornou obrigatória a implementação de protocolos </w:t>
      </w:r>
      <w:proofErr w:type="spellStart"/>
      <w:r w:rsidRPr="006A1293">
        <w:t>internacionaismente</w:t>
      </w:r>
      <w:proofErr w:type="spellEnd"/>
      <w:r w:rsidRPr="006A1293">
        <w:t xml:space="preserve"> reconhecidos.</w:t>
      </w:r>
    </w:p>
    <w:p w14:paraId="114FE89A" w14:textId="73968B93" w:rsidR="006A1293" w:rsidRPr="006A1293" w:rsidRDefault="006A1293" w:rsidP="00836DA8">
      <w:pPr>
        <w:pStyle w:val="PargrafodaLista"/>
        <w:numPr>
          <w:ilvl w:val="0"/>
          <w:numId w:val="8"/>
        </w:numPr>
      </w:pPr>
      <w:r w:rsidRPr="006A1293">
        <w:t>RDC nº 36, de 25 de julho de 2013:</w:t>
      </w:r>
      <w:r w:rsidR="006363FD">
        <w:t xml:space="preserve"> </w:t>
      </w:r>
      <w:r w:rsidRPr="006A1293">
        <w:t>"Institui ações para a segurança do paciente em serviços de saúde e dá outras providências."</w:t>
      </w:r>
    </w:p>
    <w:p w14:paraId="419B1557" w14:textId="47C9FEF1" w:rsidR="006A1293" w:rsidRPr="006A1293" w:rsidRDefault="006A1293" w:rsidP="00836DA8">
      <w:pPr>
        <w:pStyle w:val="PargrafodaLista"/>
        <w:numPr>
          <w:ilvl w:val="1"/>
          <w:numId w:val="8"/>
        </w:numPr>
      </w:pPr>
      <w:r w:rsidRPr="00670F39">
        <w:rPr>
          <w:b/>
          <w:bCs/>
        </w:rPr>
        <w:t>O que trata:</w:t>
      </w:r>
      <w:r w:rsidR="006363FD">
        <w:t xml:space="preserve"> </w:t>
      </w:r>
      <w:r w:rsidRPr="006A1293">
        <w:t>Tornou obrigatória a criação do</w:t>
      </w:r>
      <w:r w:rsidR="006363FD">
        <w:t xml:space="preserve"> </w:t>
      </w:r>
      <w:r w:rsidRPr="00670F39">
        <w:rPr>
          <w:b/>
          <w:bCs/>
        </w:rPr>
        <w:t>Núcleo de Segurança do Paciente (NSP)</w:t>
      </w:r>
      <w:r w:rsidR="006363FD">
        <w:t xml:space="preserve"> </w:t>
      </w:r>
      <w:r w:rsidRPr="006A1293">
        <w:t>em hospitais. Esta é a norma central que exige a implementação e o monitoramento dos</w:t>
      </w:r>
      <w:r w:rsidR="006363FD">
        <w:t xml:space="preserve"> </w:t>
      </w:r>
      <w:r w:rsidRPr="00670F39">
        <w:rPr>
          <w:b/>
          <w:bCs/>
        </w:rPr>
        <w:t>Protocolos de Segurança do Paciente</w:t>
      </w:r>
      <w:r w:rsidRPr="006A1293">
        <w:t>:</w:t>
      </w:r>
    </w:p>
    <w:p w14:paraId="758E89B0" w14:textId="40F8B3A3" w:rsidR="006A1293" w:rsidRPr="006A1293" w:rsidRDefault="006A1293" w:rsidP="00836DA8">
      <w:pPr>
        <w:pStyle w:val="PargrafodaLista"/>
        <w:numPr>
          <w:ilvl w:val="2"/>
          <w:numId w:val="8"/>
        </w:numPr>
      </w:pPr>
      <w:r w:rsidRPr="00670F39">
        <w:rPr>
          <w:b/>
          <w:bCs/>
        </w:rPr>
        <w:t>Identificação do Paciente:</w:t>
      </w:r>
      <w:r w:rsidR="006363FD">
        <w:t xml:space="preserve"> </w:t>
      </w:r>
      <w:r w:rsidRPr="006A1293">
        <w:t>Uso de pulseira de identificação.</w:t>
      </w:r>
    </w:p>
    <w:p w14:paraId="78451208" w14:textId="2DAEB3D4" w:rsidR="006A1293" w:rsidRPr="006A1293" w:rsidRDefault="006A1293" w:rsidP="00836DA8">
      <w:pPr>
        <w:pStyle w:val="PargrafodaLista"/>
        <w:numPr>
          <w:ilvl w:val="2"/>
          <w:numId w:val="8"/>
        </w:numPr>
      </w:pPr>
      <w:r w:rsidRPr="006A1293">
        <w:t>Segurança na Prescrição, Uso e Administração de Medicamentos:</w:t>
      </w:r>
      <w:r w:rsidR="006363FD">
        <w:t xml:space="preserve"> </w:t>
      </w:r>
      <w:r w:rsidRPr="006A1293">
        <w:t>Verificação em várias etapas.</w:t>
      </w:r>
    </w:p>
    <w:p w14:paraId="0CD1A8BB" w14:textId="7AD30626" w:rsidR="006A1293" w:rsidRPr="006A1293" w:rsidRDefault="006A1293" w:rsidP="00836DA8">
      <w:pPr>
        <w:pStyle w:val="PargrafodaLista"/>
        <w:numPr>
          <w:ilvl w:val="2"/>
          <w:numId w:val="8"/>
        </w:numPr>
      </w:pPr>
      <w:r w:rsidRPr="00670F39">
        <w:rPr>
          <w:b/>
          <w:bCs/>
        </w:rPr>
        <w:t>Práticas Seguras em Cirurgia:</w:t>
      </w:r>
      <w:r w:rsidR="006363FD">
        <w:t xml:space="preserve"> </w:t>
      </w:r>
      <w:r w:rsidRPr="006A1293">
        <w:t>"Checklist Cirúrgico" (antes da indução anestésica, antes da incisão e antes do paciente sair da sala).</w:t>
      </w:r>
    </w:p>
    <w:p w14:paraId="6242D018" w14:textId="77777777" w:rsidR="006A1293" w:rsidRPr="006A1293" w:rsidRDefault="006A1293" w:rsidP="00836DA8">
      <w:pPr>
        <w:pStyle w:val="PargrafodaLista"/>
        <w:numPr>
          <w:ilvl w:val="2"/>
          <w:numId w:val="8"/>
        </w:numPr>
      </w:pPr>
      <w:r w:rsidRPr="006A1293">
        <w:t>Higienização das Mãos.</w:t>
      </w:r>
    </w:p>
    <w:p w14:paraId="38361178" w14:textId="77777777" w:rsidR="006A1293" w:rsidRPr="006A1293" w:rsidRDefault="006A1293" w:rsidP="00836DA8">
      <w:pPr>
        <w:pStyle w:val="PargrafodaLista"/>
        <w:numPr>
          <w:ilvl w:val="2"/>
          <w:numId w:val="8"/>
        </w:numPr>
      </w:pPr>
      <w:r w:rsidRPr="006A1293">
        <w:t>Prevenção de Úlceras por Pressão (Escaras).</w:t>
      </w:r>
    </w:p>
    <w:p w14:paraId="0D48FFE3" w14:textId="77777777" w:rsidR="006A1293" w:rsidRPr="006A1293" w:rsidRDefault="006A1293" w:rsidP="00836DA8">
      <w:pPr>
        <w:pStyle w:val="PargrafodaLista"/>
        <w:numPr>
          <w:ilvl w:val="2"/>
          <w:numId w:val="8"/>
        </w:numPr>
      </w:pPr>
      <w:r w:rsidRPr="006A1293">
        <w:t>Prevenção de Quedas.</w:t>
      </w:r>
    </w:p>
    <w:p w14:paraId="448D7265" w14:textId="77777777" w:rsidR="006A1293" w:rsidRPr="009761EE" w:rsidRDefault="006A1293" w:rsidP="009761EE">
      <w:pPr>
        <w:rPr>
          <w:b/>
          <w:bCs/>
        </w:rPr>
      </w:pPr>
      <w:r w:rsidRPr="009761EE">
        <w:rPr>
          <w:b/>
          <w:bCs/>
        </w:rPr>
        <w:t>4. Normas para Serviços e Procedimentos de Alta Complexidade/Risco</w:t>
      </w:r>
    </w:p>
    <w:p w14:paraId="016A58BF" w14:textId="77777777" w:rsidR="006A1293" w:rsidRPr="006A1293" w:rsidRDefault="006A1293" w:rsidP="00670F39">
      <w:r w:rsidRPr="006A1293">
        <w:t>A ANVISA também regulamenta ambientes e processos específicos que demandam controle rigoroso.</w:t>
      </w:r>
    </w:p>
    <w:p w14:paraId="67DB58DF" w14:textId="693CA2AF" w:rsidR="006A1293" w:rsidRPr="006A1293" w:rsidRDefault="006A1293" w:rsidP="00836DA8">
      <w:pPr>
        <w:pStyle w:val="PargrafodaLista"/>
        <w:numPr>
          <w:ilvl w:val="0"/>
          <w:numId w:val="9"/>
        </w:numPr>
      </w:pPr>
      <w:r w:rsidRPr="006A1293">
        <w:t>RDC nº 15, de 15 de março de 2012:</w:t>
      </w:r>
      <w:r w:rsidR="006363FD">
        <w:t xml:space="preserve"> </w:t>
      </w:r>
      <w:r w:rsidRPr="006A1293">
        <w:t>"Dispõe sobre requisitos de boas práticas para o serviço de diálise."</w:t>
      </w:r>
    </w:p>
    <w:p w14:paraId="64ED59C6" w14:textId="38BE0648" w:rsidR="006A1293" w:rsidRPr="006A1293" w:rsidRDefault="006A1293" w:rsidP="00836DA8">
      <w:pPr>
        <w:pStyle w:val="PargrafodaLista"/>
        <w:numPr>
          <w:ilvl w:val="0"/>
          <w:numId w:val="9"/>
        </w:numPr>
      </w:pPr>
      <w:r w:rsidRPr="006A1293">
        <w:t>RDC nº 50, de 21 de fevereiro de 2002 (Anexos):</w:t>
      </w:r>
      <w:r w:rsidR="006363FD">
        <w:t xml:space="preserve"> </w:t>
      </w:r>
      <w:r w:rsidRPr="006A1293">
        <w:t>Como mencionado, possui anexos específicos para</w:t>
      </w:r>
      <w:r w:rsidR="006363FD">
        <w:t xml:space="preserve"> </w:t>
      </w:r>
      <w:r w:rsidRPr="006A1293">
        <w:t>Centro Cirúrgico e Centro de Material e Esterilização (CME),</w:t>
      </w:r>
      <w:r w:rsidR="006363FD">
        <w:t xml:space="preserve"> </w:t>
      </w:r>
      <w:r w:rsidRPr="006A1293">
        <w:t>Unidade de Terapia Intensiva (UTI),</w:t>
      </w:r>
      <w:r w:rsidR="006363FD">
        <w:t xml:space="preserve"> </w:t>
      </w:r>
      <w:r w:rsidRPr="006A1293">
        <w:t>Pronto-Socorro, entre outros, detalhando seus requisitos físicos e de fluxo.</w:t>
      </w:r>
    </w:p>
    <w:p w14:paraId="0099E26A" w14:textId="77777777" w:rsidR="006A1293" w:rsidRPr="009761EE" w:rsidRDefault="006A1293" w:rsidP="009761EE">
      <w:pPr>
        <w:rPr>
          <w:b/>
          <w:bCs/>
        </w:rPr>
      </w:pPr>
      <w:r w:rsidRPr="009761EE">
        <w:rPr>
          <w:b/>
          <w:bCs/>
        </w:rPr>
        <w:t>5. Normas para Medicamentos e Sangue/Hemoderivados</w:t>
      </w:r>
    </w:p>
    <w:p w14:paraId="2A8FBC0C" w14:textId="77777777" w:rsidR="006A1293" w:rsidRPr="006A1293" w:rsidRDefault="006A1293" w:rsidP="00670F39">
      <w:r w:rsidRPr="006A1293">
        <w:t>Estas normas impactam diretamente procedimentos como administração de medicamentos e transfusão sanguínea.</w:t>
      </w:r>
    </w:p>
    <w:p w14:paraId="672DF365" w14:textId="29615DCC" w:rsidR="006A1293" w:rsidRPr="006A1293" w:rsidRDefault="006A1293" w:rsidP="00836DA8">
      <w:pPr>
        <w:pStyle w:val="PargrafodaLista"/>
        <w:numPr>
          <w:ilvl w:val="0"/>
          <w:numId w:val="10"/>
        </w:numPr>
      </w:pPr>
      <w:r w:rsidRPr="00670F39">
        <w:rPr>
          <w:b/>
          <w:bCs/>
        </w:rPr>
        <w:t>RDC nº 214, de 14 de fevereiro de 2018 (e outras):</w:t>
      </w:r>
      <w:r w:rsidR="006363FD">
        <w:t xml:space="preserve"> </w:t>
      </w:r>
      <w:r w:rsidRPr="006A1293">
        <w:t>Regulamentam as</w:t>
      </w:r>
      <w:r w:rsidR="006363FD">
        <w:t xml:space="preserve"> </w:t>
      </w:r>
      <w:r w:rsidRPr="00670F39">
        <w:rPr>
          <w:b/>
          <w:bCs/>
        </w:rPr>
        <w:t>Boas Práticas de Farmácia</w:t>
      </w:r>
      <w:r w:rsidR="006363FD">
        <w:t xml:space="preserve"> </w:t>
      </w:r>
      <w:r w:rsidRPr="006A1293">
        <w:t>no ambiente hospitalar, assegurando a qualidade dos medicamentos preparados e dispensados.</w:t>
      </w:r>
    </w:p>
    <w:p w14:paraId="68DF69A1" w14:textId="378B5D15" w:rsidR="006A1293" w:rsidRPr="006A1293" w:rsidRDefault="006A1293" w:rsidP="00836DA8">
      <w:pPr>
        <w:pStyle w:val="PargrafodaLista"/>
        <w:numPr>
          <w:ilvl w:val="0"/>
          <w:numId w:val="10"/>
        </w:numPr>
      </w:pPr>
      <w:r w:rsidRPr="00670F39">
        <w:rPr>
          <w:b/>
          <w:bCs/>
        </w:rPr>
        <w:t>RDC nº 158, de 13 de maio de 2021 (e outras):</w:t>
      </w:r>
      <w:r w:rsidR="006363FD">
        <w:t xml:space="preserve"> </w:t>
      </w:r>
      <w:r w:rsidRPr="006A1293">
        <w:t>Dispõem sobre as</w:t>
      </w:r>
      <w:r w:rsidR="006363FD">
        <w:t xml:space="preserve"> </w:t>
      </w:r>
      <w:r w:rsidRPr="00670F39">
        <w:rPr>
          <w:b/>
          <w:bCs/>
        </w:rPr>
        <w:t>Boas Práticas no Ciclo do Sangue</w:t>
      </w:r>
      <w:r w:rsidRPr="006A1293">
        <w:t>, garantindo a segurança desde a coleta do doador até a transfusão no paciente.</w:t>
      </w:r>
    </w:p>
    <w:p w14:paraId="174FE020" w14:textId="77777777" w:rsidR="006A1293" w:rsidRPr="006A1293" w:rsidRDefault="006A1293" w:rsidP="009761EE">
      <w:r w:rsidRPr="006A1293">
        <w:t>Resumo Prático para o Profissional:</w:t>
      </w:r>
    </w:p>
    <w:p w14:paraId="6E55E76A" w14:textId="65EE8212" w:rsidR="006A1293" w:rsidRPr="006A1293" w:rsidRDefault="006A1293" w:rsidP="00670F39">
      <w:r w:rsidRPr="006A1293">
        <w:t>Quando se pensa na aplicação de um procedimento de cuidado ao paciente (como um curativo, uma medicação intravenosa ou um preparo para cirurgia), o profissional deve seguir, na verdade, um</w:t>
      </w:r>
      <w:r w:rsidR="006363FD">
        <w:t xml:space="preserve"> </w:t>
      </w:r>
      <w:r w:rsidRPr="006A1293">
        <w:rPr>
          <w:b/>
          <w:bCs/>
        </w:rPr>
        <w:t>conjunto de normas da ANVISA</w:t>
      </w:r>
      <w:r w:rsidR="006363FD">
        <w:t xml:space="preserve"> </w:t>
      </w:r>
      <w:r w:rsidRPr="006A1293">
        <w:t>que se inter-relacionam:</w:t>
      </w:r>
    </w:p>
    <w:p w14:paraId="709BCBC2" w14:textId="5E08E367" w:rsidR="006A1293" w:rsidRPr="006A1293" w:rsidRDefault="006A1293" w:rsidP="00836DA8">
      <w:pPr>
        <w:pStyle w:val="PargrafodaLista"/>
        <w:numPr>
          <w:ilvl w:val="0"/>
          <w:numId w:val="11"/>
        </w:numPr>
      </w:pPr>
      <w:r w:rsidRPr="006A1293">
        <w:t>O ambiente deve atender aos requisitos da</w:t>
      </w:r>
      <w:r w:rsidR="006363FD">
        <w:t xml:space="preserve"> </w:t>
      </w:r>
      <w:r w:rsidRPr="00670F39">
        <w:rPr>
          <w:b/>
          <w:bCs/>
        </w:rPr>
        <w:t>RDC 50</w:t>
      </w:r>
      <w:r w:rsidRPr="006A1293">
        <w:t>.</w:t>
      </w:r>
    </w:p>
    <w:p w14:paraId="23E4D43A" w14:textId="6D92BE4B" w:rsidR="006A1293" w:rsidRPr="006A1293" w:rsidRDefault="006A1293" w:rsidP="00836DA8">
      <w:pPr>
        <w:pStyle w:val="PargrafodaLista"/>
        <w:numPr>
          <w:ilvl w:val="0"/>
          <w:numId w:val="11"/>
        </w:numPr>
      </w:pPr>
      <w:r w:rsidRPr="006A1293">
        <w:t>A técnica asséptica e a higienização das mãos são obrigatórias pela</w:t>
      </w:r>
      <w:r w:rsidR="006363FD">
        <w:t xml:space="preserve"> </w:t>
      </w:r>
      <w:r w:rsidRPr="00670F39">
        <w:rPr>
          <w:b/>
          <w:bCs/>
        </w:rPr>
        <w:t>RDC 67</w:t>
      </w:r>
      <w:r w:rsidRPr="006A1293">
        <w:t>.</w:t>
      </w:r>
    </w:p>
    <w:p w14:paraId="1CAE8D90" w14:textId="2C88A3C0" w:rsidR="006A1293" w:rsidRPr="006A1293" w:rsidRDefault="006A1293" w:rsidP="00836DA8">
      <w:pPr>
        <w:pStyle w:val="PargrafodaLista"/>
        <w:numPr>
          <w:ilvl w:val="0"/>
          <w:numId w:val="11"/>
        </w:numPr>
      </w:pPr>
      <w:r w:rsidRPr="006A1293">
        <w:t>O material utilizado deve ter sido processado (limpo, desinfetado ou esterilizado) de acordo com as boas práticas do CME, também baseadas na</w:t>
      </w:r>
      <w:r w:rsidR="006363FD">
        <w:t xml:space="preserve"> </w:t>
      </w:r>
      <w:r w:rsidRPr="00670F39">
        <w:rPr>
          <w:b/>
          <w:bCs/>
        </w:rPr>
        <w:t>RDC 67</w:t>
      </w:r>
      <w:r w:rsidRPr="006A1293">
        <w:t>.</w:t>
      </w:r>
    </w:p>
    <w:p w14:paraId="6F7994A4" w14:textId="77777777" w:rsidR="006A1293" w:rsidRPr="006A1293" w:rsidRDefault="006A1293" w:rsidP="00836DA8">
      <w:pPr>
        <w:pStyle w:val="PargrafodaLista"/>
        <w:numPr>
          <w:ilvl w:val="0"/>
          <w:numId w:val="11"/>
        </w:numPr>
      </w:pPr>
      <w:r w:rsidRPr="006A1293">
        <w:t>O paciente deve estar corretamente identificado (</w:t>
      </w:r>
      <w:r w:rsidRPr="00670F39">
        <w:rPr>
          <w:b/>
          <w:bCs/>
        </w:rPr>
        <w:t>Protocolo da RDC 36</w:t>
      </w:r>
      <w:r w:rsidRPr="006A1293">
        <w:t>).</w:t>
      </w:r>
    </w:p>
    <w:p w14:paraId="264854C9" w14:textId="37700089" w:rsidR="006A1293" w:rsidRPr="006A1293" w:rsidRDefault="006A1293" w:rsidP="00836DA8">
      <w:pPr>
        <w:pStyle w:val="PargrafodaLista"/>
        <w:numPr>
          <w:ilvl w:val="0"/>
          <w:numId w:val="11"/>
        </w:numPr>
      </w:pPr>
      <w:r w:rsidRPr="006A1293">
        <w:t>O medicamento a ser administrado deve ser conferido conforme o</w:t>
      </w:r>
      <w:r w:rsidR="006363FD">
        <w:t xml:space="preserve"> </w:t>
      </w:r>
      <w:r w:rsidRPr="00670F39">
        <w:rPr>
          <w:b/>
          <w:bCs/>
        </w:rPr>
        <w:t>protocolo de segurança da medicação (RDC 36)</w:t>
      </w:r>
      <w:r w:rsidR="006363FD">
        <w:t xml:space="preserve"> </w:t>
      </w:r>
      <w:r w:rsidRPr="006A1293">
        <w:t>e preparado em uma farmácia que siga a</w:t>
      </w:r>
      <w:r w:rsidR="006363FD">
        <w:t xml:space="preserve"> </w:t>
      </w:r>
      <w:r w:rsidRPr="00670F39">
        <w:rPr>
          <w:b/>
          <w:bCs/>
        </w:rPr>
        <w:t>RDC 214</w:t>
      </w:r>
      <w:r w:rsidRPr="006A1293">
        <w:t>.</w:t>
      </w:r>
    </w:p>
    <w:p w14:paraId="3FE96A94" w14:textId="1DAF3C7B" w:rsidR="006A1293" w:rsidRPr="006A1293" w:rsidRDefault="006A1293" w:rsidP="00836DA8">
      <w:pPr>
        <w:pStyle w:val="PargrafodaLista"/>
        <w:numPr>
          <w:ilvl w:val="0"/>
          <w:numId w:val="11"/>
        </w:numPr>
      </w:pPr>
      <w:r w:rsidRPr="006A1293">
        <w:t>Os resíduos gerados (gazes, agulhas) devem ser descartados conforme a</w:t>
      </w:r>
      <w:r w:rsidR="006363FD">
        <w:t xml:space="preserve"> </w:t>
      </w:r>
      <w:r w:rsidRPr="00670F39">
        <w:rPr>
          <w:b/>
          <w:bCs/>
        </w:rPr>
        <w:t>RDC 222</w:t>
      </w:r>
      <w:r w:rsidRPr="006A1293">
        <w:t>.</w:t>
      </w:r>
    </w:p>
    <w:p w14:paraId="78AA7525" w14:textId="77777777" w:rsidR="006A1293" w:rsidRPr="006A1293" w:rsidRDefault="006A1293" w:rsidP="00670F39">
      <w:r w:rsidRPr="006A1293">
        <w:lastRenderedPageBreak/>
        <w:t>Portanto, a "aplicação dos procedimentos" é, na visão da ANVISA, a correta execução de uma série de processos regulados que, em conjunto, garantem que o cuidado seja prestado com a máxima segurança e qualidade, minimizando os riscos para o paciente.</w:t>
      </w:r>
    </w:p>
    <w:p w14:paraId="31BA2E77" w14:textId="0A098449" w:rsidR="008B1766" w:rsidRDefault="008B1766" w:rsidP="00670F39"/>
    <w:p w14:paraId="2A249A65" w14:textId="17B4C322" w:rsidR="00283196" w:rsidRDefault="00283196" w:rsidP="00283196">
      <w:pPr>
        <w:pStyle w:val="Ttulo3"/>
        <w:numPr>
          <w:ilvl w:val="0"/>
          <w:numId w:val="0"/>
        </w:numPr>
      </w:pPr>
      <w:r>
        <w:t>Referência</w:t>
      </w:r>
      <w:r w:rsidR="00507C70">
        <w:t>s</w:t>
      </w:r>
      <w:r>
        <w:t>:</w:t>
      </w:r>
    </w:p>
    <w:p w14:paraId="6175EFB5" w14:textId="68CF28E3" w:rsidR="00283196" w:rsidRPr="00283196" w:rsidRDefault="00283196" w:rsidP="00507C70">
      <w:pPr>
        <w:rPr>
          <w:rFonts w:cstheme="minorHAnsi"/>
        </w:rPr>
      </w:pPr>
      <w:r w:rsidRPr="00283196">
        <w:rPr>
          <w:rFonts w:ascii="Segoe UI Emoji" w:hAnsi="Segoe UI Emoji" w:cs="Segoe UI Emoji"/>
        </w:rPr>
        <w:t>📋</w:t>
      </w:r>
      <w:r w:rsidRPr="00507C70">
        <w:rPr>
          <w:rFonts w:cstheme="minorHAnsi"/>
        </w:rPr>
        <w:t xml:space="preserve"> </w:t>
      </w:r>
      <w:r w:rsidRPr="00283196">
        <w:rPr>
          <w:rFonts w:cstheme="minorHAnsi"/>
        </w:rPr>
        <w:t>Normas da ANVISA Citadas no Documento</w:t>
      </w:r>
    </w:p>
    <w:p w14:paraId="0479ED57" w14:textId="07D09B81" w:rsidR="00283196" w:rsidRPr="00283196" w:rsidRDefault="00283196" w:rsidP="00507C70">
      <w:pPr>
        <w:rPr>
          <w:rFonts w:cstheme="minorHAnsi"/>
          <w:b/>
          <w:bCs/>
          <w:sz w:val="20"/>
          <w:szCs w:val="20"/>
        </w:rPr>
      </w:pPr>
      <w:r w:rsidRPr="00283196">
        <w:rPr>
          <w:rFonts w:cstheme="minorHAnsi"/>
          <w:b/>
          <w:bCs/>
          <w:sz w:val="20"/>
          <w:szCs w:val="20"/>
        </w:rPr>
        <w:t>1.</w:t>
      </w:r>
      <w:r w:rsidRPr="00507C70">
        <w:rPr>
          <w:rFonts w:cstheme="minorHAnsi"/>
          <w:b/>
          <w:bCs/>
          <w:sz w:val="20"/>
          <w:szCs w:val="20"/>
        </w:rPr>
        <w:t xml:space="preserve"> </w:t>
      </w:r>
      <w:r w:rsidRPr="00283196">
        <w:rPr>
          <w:rFonts w:cstheme="minorHAnsi"/>
          <w:b/>
          <w:bCs/>
          <w:sz w:val="20"/>
          <w:szCs w:val="20"/>
        </w:rPr>
        <w:t>RDC nº 50/2002</w:t>
      </w:r>
    </w:p>
    <w:p w14:paraId="5BDBC659" w14:textId="77777777" w:rsidR="00283196" w:rsidRPr="00507C70" w:rsidRDefault="00283196" w:rsidP="00507C70">
      <w:pPr>
        <w:ind w:left="708"/>
        <w:rPr>
          <w:rFonts w:cstheme="minorHAnsi"/>
          <w:sz w:val="20"/>
          <w:szCs w:val="20"/>
        </w:rPr>
      </w:pPr>
      <w:r w:rsidRPr="00283196">
        <w:rPr>
          <w:rFonts w:cstheme="minorHAnsi"/>
          <w:i/>
          <w:iCs/>
          <w:sz w:val="20"/>
          <w:szCs w:val="20"/>
        </w:rPr>
        <w:t>Dispõe sobre o regulamento técnico para planejamento, programação, elaboração e avaliação de projetos físicos de estabelecimentos assistenciais de saúde.</w:t>
      </w:r>
    </w:p>
    <w:p w14:paraId="5492DC60" w14:textId="034D5D73" w:rsidR="00283196" w:rsidRPr="00283196" w:rsidRDefault="00283196" w:rsidP="00507C70">
      <w:pPr>
        <w:ind w:left="708"/>
        <w:rPr>
          <w:rFonts w:cstheme="minorHAnsi"/>
          <w:sz w:val="20"/>
          <w:szCs w:val="20"/>
        </w:rPr>
      </w:pPr>
      <w:r w:rsidRPr="00283196">
        <w:rPr>
          <w:rFonts w:ascii="Segoe UI Emoji" w:hAnsi="Segoe UI Emoji" w:cs="Segoe UI Emoji"/>
          <w:sz w:val="20"/>
          <w:szCs w:val="20"/>
        </w:rPr>
        <w:t>🔗</w:t>
      </w:r>
      <w:r w:rsidRPr="00507C70">
        <w:rPr>
          <w:rFonts w:cstheme="minorHAnsi"/>
          <w:sz w:val="20"/>
          <w:szCs w:val="20"/>
        </w:rPr>
        <w:t xml:space="preserve"> </w:t>
      </w:r>
      <w:hyperlink r:id="rId5" w:tgtFrame="_blank" w:history="1">
        <w:r w:rsidRPr="00283196">
          <w:rPr>
            <w:rStyle w:val="Hyperlink"/>
            <w:rFonts w:cstheme="minorHAnsi"/>
            <w:sz w:val="20"/>
            <w:szCs w:val="20"/>
          </w:rPr>
          <w:t>Acesse a RDC nº 50/2002</w:t>
        </w:r>
      </w:hyperlink>
    </w:p>
    <w:p w14:paraId="76F1E32D" w14:textId="00EE0F3D" w:rsidR="00283196" w:rsidRPr="00283196" w:rsidRDefault="00283196" w:rsidP="00507C70">
      <w:pPr>
        <w:rPr>
          <w:rFonts w:cstheme="minorHAnsi"/>
          <w:b/>
          <w:bCs/>
          <w:sz w:val="20"/>
          <w:szCs w:val="20"/>
        </w:rPr>
      </w:pPr>
      <w:r w:rsidRPr="00283196">
        <w:rPr>
          <w:rFonts w:cstheme="minorHAnsi"/>
          <w:b/>
          <w:bCs/>
          <w:sz w:val="20"/>
          <w:szCs w:val="20"/>
        </w:rPr>
        <w:t>2.</w:t>
      </w:r>
      <w:r w:rsidRPr="00507C70">
        <w:rPr>
          <w:rFonts w:cstheme="minorHAnsi"/>
          <w:b/>
          <w:bCs/>
          <w:sz w:val="20"/>
          <w:szCs w:val="20"/>
        </w:rPr>
        <w:t xml:space="preserve"> </w:t>
      </w:r>
      <w:r w:rsidRPr="00283196">
        <w:rPr>
          <w:rFonts w:cstheme="minorHAnsi"/>
          <w:b/>
          <w:bCs/>
          <w:sz w:val="20"/>
          <w:szCs w:val="20"/>
        </w:rPr>
        <w:t>RDC nº 222/2018</w:t>
      </w:r>
    </w:p>
    <w:p w14:paraId="70B59830" w14:textId="77777777" w:rsidR="00283196" w:rsidRPr="00507C70" w:rsidRDefault="00283196" w:rsidP="00507C70">
      <w:pPr>
        <w:ind w:left="708"/>
        <w:rPr>
          <w:rFonts w:cstheme="minorHAnsi"/>
          <w:sz w:val="20"/>
          <w:szCs w:val="20"/>
        </w:rPr>
      </w:pPr>
      <w:r w:rsidRPr="00283196">
        <w:rPr>
          <w:rFonts w:cstheme="minorHAnsi"/>
          <w:i/>
          <w:iCs/>
          <w:sz w:val="20"/>
          <w:szCs w:val="20"/>
        </w:rPr>
        <w:t>Dispõe sobre as boas práticas de gerenciamento dos resíduos de serviços de saúde.</w:t>
      </w:r>
    </w:p>
    <w:p w14:paraId="38A5230B" w14:textId="41AAB283" w:rsidR="00283196" w:rsidRPr="00283196" w:rsidRDefault="00283196" w:rsidP="00507C70">
      <w:pPr>
        <w:ind w:left="708"/>
        <w:rPr>
          <w:rFonts w:cstheme="minorHAnsi"/>
          <w:sz w:val="20"/>
          <w:szCs w:val="20"/>
        </w:rPr>
      </w:pPr>
      <w:r w:rsidRPr="00283196">
        <w:rPr>
          <w:rFonts w:ascii="Segoe UI Emoji" w:hAnsi="Segoe UI Emoji" w:cs="Segoe UI Emoji"/>
          <w:sz w:val="20"/>
          <w:szCs w:val="20"/>
        </w:rPr>
        <w:t>🔗</w:t>
      </w:r>
      <w:hyperlink r:id="rId6" w:tgtFrame="_blank" w:history="1">
        <w:r w:rsidRPr="00283196">
          <w:rPr>
            <w:rStyle w:val="Hyperlink"/>
            <w:rFonts w:cstheme="minorHAnsi"/>
            <w:sz w:val="20"/>
            <w:szCs w:val="20"/>
          </w:rPr>
          <w:t>Acesse a RDC nº 222/2018</w:t>
        </w:r>
      </w:hyperlink>
    </w:p>
    <w:p w14:paraId="17578697" w14:textId="5D7B28BC" w:rsidR="00283196" w:rsidRPr="00283196" w:rsidRDefault="00283196" w:rsidP="00507C70">
      <w:pPr>
        <w:rPr>
          <w:rFonts w:cstheme="minorHAnsi"/>
          <w:b/>
          <w:bCs/>
          <w:sz w:val="20"/>
          <w:szCs w:val="20"/>
        </w:rPr>
      </w:pPr>
      <w:r w:rsidRPr="00283196">
        <w:rPr>
          <w:rFonts w:cstheme="minorHAnsi"/>
          <w:b/>
          <w:bCs/>
          <w:sz w:val="20"/>
          <w:szCs w:val="20"/>
        </w:rPr>
        <w:t>3.</w:t>
      </w:r>
      <w:r w:rsidRPr="00507C70">
        <w:rPr>
          <w:rFonts w:cstheme="minorHAnsi"/>
          <w:b/>
          <w:bCs/>
          <w:sz w:val="20"/>
          <w:szCs w:val="20"/>
        </w:rPr>
        <w:t xml:space="preserve"> </w:t>
      </w:r>
      <w:r w:rsidRPr="00283196">
        <w:rPr>
          <w:rFonts w:cstheme="minorHAnsi"/>
          <w:b/>
          <w:bCs/>
          <w:sz w:val="20"/>
          <w:szCs w:val="20"/>
        </w:rPr>
        <w:t>RDC nº 67/2020</w:t>
      </w:r>
      <w:r w:rsidRPr="00507C70">
        <w:rPr>
          <w:rFonts w:cstheme="minorHAnsi"/>
          <w:b/>
          <w:bCs/>
          <w:sz w:val="20"/>
          <w:szCs w:val="20"/>
        </w:rPr>
        <w:t xml:space="preserve"> </w:t>
      </w:r>
      <w:r w:rsidRPr="00283196">
        <w:rPr>
          <w:rFonts w:cstheme="minorHAnsi"/>
          <w:b/>
          <w:bCs/>
          <w:sz w:val="20"/>
          <w:szCs w:val="20"/>
        </w:rPr>
        <w:t>(alterada pela RDC nº 672/2022)</w:t>
      </w:r>
    </w:p>
    <w:p w14:paraId="69008526" w14:textId="77777777" w:rsidR="00283196" w:rsidRPr="00507C70" w:rsidRDefault="00283196" w:rsidP="00507C70">
      <w:pPr>
        <w:ind w:left="708"/>
        <w:rPr>
          <w:rFonts w:cstheme="minorHAnsi"/>
          <w:sz w:val="20"/>
          <w:szCs w:val="20"/>
        </w:rPr>
      </w:pPr>
      <w:r w:rsidRPr="00283196">
        <w:rPr>
          <w:rFonts w:cstheme="minorHAnsi"/>
          <w:i/>
          <w:iCs/>
          <w:sz w:val="20"/>
          <w:szCs w:val="20"/>
        </w:rPr>
        <w:t>Dispõe sobre os requisitos mínimos para a atuação dos serviços de saúde no controle de infecções relacionadas à assistência.</w:t>
      </w:r>
    </w:p>
    <w:p w14:paraId="45226945" w14:textId="3BF4D0EB" w:rsidR="00283196" w:rsidRPr="00507C70" w:rsidRDefault="00283196" w:rsidP="00507C70">
      <w:pPr>
        <w:ind w:left="708"/>
        <w:rPr>
          <w:rFonts w:cstheme="minorHAnsi"/>
          <w:sz w:val="20"/>
          <w:szCs w:val="20"/>
        </w:rPr>
      </w:pPr>
      <w:r w:rsidRPr="00283196">
        <w:rPr>
          <w:rFonts w:ascii="Segoe UI Emoji" w:hAnsi="Segoe UI Emoji" w:cs="Segoe UI Emoji"/>
          <w:sz w:val="20"/>
          <w:szCs w:val="20"/>
        </w:rPr>
        <w:t>🔗</w:t>
      </w:r>
      <w:r w:rsidRPr="00507C70">
        <w:rPr>
          <w:rFonts w:cstheme="minorHAnsi"/>
          <w:sz w:val="20"/>
          <w:szCs w:val="20"/>
        </w:rPr>
        <w:t xml:space="preserve"> </w:t>
      </w:r>
      <w:hyperlink r:id="rId7" w:tgtFrame="_blank" w:history="1">
        <w:r w:rsidRPr="00283196">
          <w:rPr>
            <w:rStyle w:val="Hyperlink"/>
            <w:rFonts w:cstheme="minorHAnsi"/>
            <w:sz w:val="20"/>
            <w:szCs w:val="20"/>
          </w:rPr>
          <w:t>Acesse a RDC nº 67/2020</w:t>
        </w:r>
      </w:hyperlink>
    </w:p>
    <w:p w14:paraId="13D30D46" w14:textId="1FBE5BF2" w:rsidR="00283196" w:rsidRPr="00283196" w:rsidRDefault="00283196" w:rsidP="00507C70">
      <w:pPr>
        <w:ind w:left="708"/>
        <w:rPr>
          <w:rFonts w:cstheme="minorHAnsi"/>
          <w:sz w:val="20"/>
          <w:szCs w:val="20"/>
        </w:rPr>
      </w:pPr>
      <w:r w:rsidRPr="00283196">
        <w:rPr>
          <w:rFonts w:ascii="Segoe UI Emoji" w:hAnsi="Segoe UI Emoji" w:cs="Segoe UI Emoji"/>
          <w:sz w:val="20"/>
          <w:szCs w:val="20"/>
        </w:rPr>
        <w:t>🔗</w:t>
      </w:r>
      <w:r w:rsidRPr="00507C70">
        <w:rPr>
          <w:rFonts w:cstheme="minorHAnsi"/>
          <w:sz w:val="20"/>
          <w:szCs w:val="20"/>
        </w:rPr>
        <w:t xml:space="preserve"> </w:t>
      </w:r>
      <w:hyperlink r:id="rId8" w:tgtFrame="_blank" w:history="1">
        <w:r w:rsidRPr="00283196">
          <w:rPr>
            <w:rStyle w:val="Hyperlink"/>
            <w:rFonts w:cstheme="minorHAnsi"/>
            <w:sz w:val="20"/>
            <w:szCs w:val="20"/>
          </w:rPr>
          <w:t>Acesse a RDC nº 672/2022 (alteração)</w:t>
        </w:r>
      </w:hyperlink>
    </w:p>
    <w:p w14:paraId="79CD86A5" w14:textId="1D78A1E1" w:rsidR="00283196" w:rsidRPr="00283196" w:rsidRDefault="00283196" w:rsidP="00507C70">
      <w:pPr>
        <w:rPr>
          <w:rFonts w:cstheme="minorHAnsi"/>
          <w:b/>
          <w:bCs/>
          <w:sz w:val="20"/>
          <w:szCs w:val="20"/>
        </w:rPr>
      </w:pPr>
      <w:r w:rsidRPr="00283196">
        <w:rPr>
          <w:rFonts w:cstheme="minorHAnsi"/>
          <w:b/>
          <w:bCs/>
          <w:sz w:val="20"/>
          <w:szCs w:val="20"/>
        </w:rPr>
        <w:t>4.</w:t>
      </w:r>
      <w:r w:rsidRPr="00507C70">
        <w:rPr>
          <w:rFonts w:cstheme="minorHAnsi"/>
          <w:b/>
          <w:bCs/>
          <w:sz w:val="20"/>
          <w:szCs w:val="20"/>
        </w:rPr>
        <w:t xml:space="preserve"> </w:t>
      </w:r>
      <w:r w:rsidRPr="00283196">
        <w:rPr>
          <w:rFonts w:cstheme="minorHAnsi"/>
          <w:b/>
          <w:bCs/>
          <w:sz w:val="20"/>
          <w:szCs w:val="20"/>
        </w:rPr>
        <w:t>RDC nº 36/2013</w:t>
      </w:r>
    </w:p>
    <w:p w14:paraId="68E6C6BB" w14:textId="77777777" w:rsidR="00283196" w:rsidRPr="00507C70" w:rsidRDefault="00283196" w:rsidP="00507C70">
      <w:pPr>
        <w:ind w:left="708"/>
        <w:rPr>
          <w:rFonts w:cstheme="minorHAnsi"/>
          <w:sz w:val="20"/>
          <w:szCs w:val="20"/>
        </w:rPr>
      </w:pPr>
      <w:r w:rsidRPr="00283196">
        <w:rPr>
          <w:rFonts w:cstheme="minorHAnsi"/>
          <w:i/>
          <w:iCs/>
          <w:sz w:val="20"/>
          <w:szCs w:val="20"/>
        </w:rPr>
        <w:t>Institui ações para a segurança do paciente em serviços de saúde e dá outras providências.</w:t>
      </w:r>
    </w:p>
    <w:p w14:paraId="5CB36CDD" w14:textId="3210C483" w:rsidR="00283196" w:rsidRPr="00283196" w:rsidRDefault="00283196" w:rsidP="00507C70">
      <w:pPr>
        <w:ind w:left="708"/>
        <w:rPr>
          <w:rFonts w:cstheme="minorHAnsi"/>
          <w:sz w:val="20"/>
          <w:szCs w:val="20"/>
        </w:rPr>
      </w:pPr>
      <w:r w:rsidRPr="00283196">
        <w:rPr>
          <w:rFonts w:ascii="Segoe UI Emoji" w:hAnsi="Segoe UI Emoji" w:cs="Segoe UI Emoji"/>
          <w:sz w:val="20"/>
          <w:szCs w:val="20"/>
        </w:rPr>
        <w:t>🔗</w:t>
      </w:r>
      <w:r w:rsidRPr="00507C70">
        <w:rPr>
          <w:rFonts w:cstheme="minorHAnsi"/>
          <w:sz w:val="20"/>
          <w:szCs w:val="20"/>
        </w:rPr>
        <w:t xml:space="preserve"> </w:t>
      </w:r>
      <w:hyperlink r:id="rId9" w:tgtFrame="_blank" w:history="1">
        <w:r w:rsidRPr="00283196">
          <w:rPr>
            <w:rStyle w:val="Hyperlink"/>
            <w:rFonts w:cstheme="minorHAnsi"/>
            <w:sz w:val="20"/>
            <w:szCs w:val="20"/>
          </w:rPr>
          <w:t>Acesse a RDC nº 36/2013</w:t>
        </w:r>
      </w:hyperlink>
    </w:p>
    <w:p w14:paraId="228971C8" w14:textId="4F7B4D4A" w:rsidR="00283196" w:rsidRPr="00283196" w:rsidRDefault="00283196" w:rsidP="00507C70">
      <w:pPr>
        <w:rPr>
          <w:rFonts w:cstheme="minorHAnsi"/>
          <w:b/>
          <w:bCs/>
          <w:sz w:val="20"/>
          <w:szCs w:val="20"/>
        </w:rPr>
      </w:pPr>
      <w:r w:rsidRPr="00283196">
        <w:rPr>
          <w:rFonts w:cstheme="minorHAnsi"/>
          <w:b/>
          <w:bCs/>
          <w:sz w:val="20"/>
          <w:szCs w:val="20"/>
        </w:rPr>
        <w:t>5.</w:t>
      </w:r>
      <w:r w:rsidRPr="00507C70">
        <w:rPr>
          <w:rFonts w:cstheme="minorHAnsi"/>
          <w:b/>
          <w:bCs/>
          <w:sz w:val="20"/>
          <w:szCs w:val="20"/>
        </w:rPr>
        <w:t xml:space="preserve"> </w:t>
      </w:r>
      <w:r w:rsidRPr="00283196">
        <w:rPr>
          <w:rFonts w:cstheme="minorHAnsi"/>
          <w:b/>
          <w:bCs/>
          <w:sz w:val="20"/>
          <w:szCs w:val="20"/>
        </w:rPr>
        <w:t>RDC nº 15/2012</w:t>
      </w:r>
    </w:p>
    <w:p w14:paraId="0206F066" w14:textId="77777777" w:rsidR="00283196" w:rsidRPr="00507C70" w:rsidRDefault="00283196" w:rsidP="00507C70">
      <w:pPr>
        <w:ind w:left="708"/>
        <w:rPr>
          <w:rFonts w:cstheme="minorHAnsi"/>
          <w:sz w:val="20"/>
          <w:szCs w:val="20"/>
        </w:rPr>
      </w:pPr>
      <w:r w:rsidRPr="00283196">
        <w:rPr>
          <w:rFonts w:cstheme="minorHAnsi"/>
          <w:i/>
          <w:iCs/>
          <w:sz w:val="20"/>
          <w:szCs w:val="20"/>
        </w:rPr>
        <w:t>Dispõe sobre requisitos de boas práticas para o serviço de diálise.</w:t>
      </w:r>
    </w:p>
    <w:p w14:paraId="0DDEBCE2" w14:textId="582A0213" w:rsidR="00283196" w:rsidRPr="00283196" w:rsidRDefault="00283196" w:rsidP="00507C70">
      <w:pPr>
        <w:ind w:left="708"/>
        <w:rPr>
          <w:rFonts w:cstheme="minorHAnsi"/>
          <w:sz w:val="20"/>
          <w:szCs w:val="20"/>
        </w:rPr>
      </w:pPr>
      <w:r w:rsidRPr="00283196">
        <w:rPr>
          <w:rFonts w:ascii="Segoe UI Emoji" w:hAnsi="Segoe UI Emoji" w:cs="Segoe UI Emoji"/>
          <w:sz w:val="20"/>
          <w:szCs w:val="20"/>
        </w:rPr>
        <w:t>🔗</w:t>
      </w:r>
      <w:r w:rsidRPr="00507C70">
        <w:rPr>
          <w:rFonts w:cstheme="minorHAnsi"/>
          <w:sz w:val="20"/>
          <w:szCs w:val="20"/>
        </w:rPr>
        <w:t xml:space="preserve"> </w:t>
      </w:r>
      <w:hyperlink r:id="rId10" w:tgtFrame="_blank" w:history="1">
        <w:r w:rsidRPr="00283196">
          <w:rPr>
            <w:rStyle w:val="Hyperlink"/>
            <w:rFonts w:cstheme="minorHAnsi"/>
            <w:sz w:val="20"/>
            <w:szCs w:val="20"/>
          </w:rPr>
          <w:t>Acesse a RDC nº 15/2012</w:t>
        </w:r>
      </w:hyperlink>
    </w:p>
    <w:p w14:paraId="7C80B119" w14:textId="011A2B8A" w:rsidR="00283196" w:rsidRPr="00283196" w:rsidRDefault="00283196" w:rsidP="00507C70">
      <w:pPr>
        <w:rPr>
          <w:rFonts w:cstheme="minorHAnsi"/>
          <w:b/>
          <w:bCs/>
          <w:sz w:val="20"/>
          <w:szCs w:val="20"/>
        </w:rPr>
      </w:pPr>
      <w:r w:rsidRPr="00283196">
        <w:rPr>
          <w:rFonts w:cstheme="minorHAnsi"/>
          <w:b/>
          <w:bCs/>
          <w:sz w:val="20"/>
          <w:szCs w:val="20"/>
        </w:rPr>
        <w:t>6.</w:t>
      </w:r>
      <w:r w:rsidRPr="00507C70">
        <w:rPr>
          <w:rFonts w:cstheme="minorHAnsi"/>
          <w:b/>
          <w:bCs/>
          <w:sz w:val="20"/>
          <w:szCs w:val="20"/>
        </w:rPr>
        <w:t xml:space="preserve"> </w:t>
      </w:r>
      <w:r w:rsidRPr="00283196">
        <w:rPr>
          <w:rFonts w:cstheme="minorHAnsi"/>
          <w:b/>
          <w:bCs/>
          <w:sz w:val="20"/>
          <w:szCs w:val="20"/>
        </w:rPr>
        <w:t>RDC nº 214/2018</w:t>
      </w:r>
    </w:p>
    <w:p w14:paraId="6164B9F1" w14:textId="77777777" w:rsidR="00283196" w:rsidRPr="00507C70" w:rsidRDefault="00283196" w:rsidP="00507C70">
      <w:pPr>
        <w:ind w:left="708"/>
        <w:rPr>
          <w:rFonts w:cstheme="minorHAnsi"/>
          <w:sz w:val="20"/>
          <w:szCs w:val="20"/>
        </w:rPr>
      </w:pPr>
      <w:r w:rsidRPr="00283196">
        <w:rPr>
          <w:rFonts w:cstheme="minorHAnsi"/>
          <w:i/>
          <w:iCs/>
          <w:sz w:val="20"/>
          <w:szCs w:val="20"/>
        </w:rPr>
        <w:t>Regulamenta as Boas Práticas de Farmácia no ambiente hospitalar.</w:t>
      </w:r>
    </w:p>
    <w:p w14:paraId="70171366" w14:textId="316D95E5" w:rsidR="00283196" w:rsidRPr="00283196" w:rsidRDefault="00283196" w:rsidP="00507C70">
      <w:pPr>
        <w:ind w:left="708"/>
        <w:rPr>
          <w:rFonts w:cstheme="minorHAnsi"/>
          <w:sz w:val="20"/>
          <w:szCs w:val="20"/>
        </w:rPr>
      </w:pPr>
      <w:r w:rsidRPr="00283196">
        <w:rPr>
          <w:rFonts w:ascii="Segoe UI Emoji" w:hAnsi="Segoe UI Emoji" w:cs="Segoe UI Emoji"/>
          <w:sz w:val="20"/>
          <w:szCs w:val="20"/>
        </w:rPr>
        <w:t>🔗</w:t>
      </w:r>
      <w:r w:rsidRPr="00507C70">
        <w:rPr>
          <w:rFonts w:cstheme="minorHAnsi"/>
          <w:sz w:val="20"/>
          <w:szCs w:val="20"/>
        </w:rPr>
        <w:t xml:space="preserve"> </w:t>
      </w:r>
      <w:hyperlink r:id="rId11" w:tgtFrame="_blank" w:history="1">
        <w:r w:rsidRPr="00283196">
          <w:rPr>
            <w:rStyle w:val="Hyperlink"/>
            <w:rFonts w:cstheme="minorHAnsi"/>
            <w:sz w:val="20"/>
            <w:szCs w:val="20"/>
          </w:rPr>
          <w:t>Acesse a RDC nº 214/2018</w:t>
        </w:r>
      </w:hyperlink>
    </w:p>
    <w:p w14:paraId="5F9D229E" w14:textId="5AA0D778" w:rsidR="00283196" w:rsidRPr="00283196" w:rsidRDefault="00283196" w:rsidP="00507C70">
      <w:pPr>
        <w:rPr>
          <w:rFonts w:cstheme="minorHAnsi"/>
          <w:b/>
          <w:bCs/>
          <w:sz w:val="20"/>
          <w:szCs w:val="20"/>
        </w:rPr>
      </w:pPr>
      <w:r w:rsidRPr="00283196">
        <w:rPr>
          <w:rFonts w:cstheme="minorHAnsi"/>
          <w:b/>
          <w:bCs/>
          <w:sz w:val="20"/>
          <w:szCs w:val="20"/>
        </w:rPr>
        <w:t>7.</w:t>
      </w:r>
      <w:r w:rsidRPr="00507C70">
        <w:rPr>
          <w:rFonts w:cstheme="minorHAnsi"/>
          <w:b/>
          <w:bCs/>
          <w:sz w:val="20"/>
          <w:szCs w:val="20"/>
        </w:rPr>
        <w:t xml:space="preserve"> </w:t>
      </w:r>
      <w:r w:rsidRPr="00283196">
        <w:rPr>
          <w:rFonts w:cstheme="minorHAnsi"/>
          <w:b/>
          <w:bCs/>
          <w:sz w:val="20"/>
          <w:szCs w:val="20"/>
        </w:rPr>
        <w:t>RDC nº 158/2021</w:t>
      </w:r>
    </w:p>
    <w:p w14:paraId="1FBD8186" w14:textId="77777777" w:rsidR="00283196" w:rsidRPr="00507C70" w:rsidRDefault="00283196" w:rsidP="00507C70">
      <w:pPr>
        <w:ind w:left="708"/>
        <w:rPr>
          <w:rFonts w:cstheme="minorHAnsi"/>
          <w:sz w:val="20"/>
          <w:szCs w:val="20"/>
        </w:rPr>
      </w:pPr>
      <w:r w:rsidRPr="00283196">
        <w:rPr>
          <w:rFonts w:cstheme="minorHAnsi"/>
          <w:i/>
          <w:iCs/>
          <w:sz w:val="20"/>
          <w:szCs w:val="20"/>
        </w:rPr>
        <w:t>Dispõe sobre as Boas Práticas no Ciclo do Sangue.</w:t>
      </w:r>
    </w:p>
    <w:p w14:paraId="2A45F7F1" w14:textId="58F583DE" w:rsidR="00283196" w:rsidRPr="00283196" w:rsidRDefault="00283196" w:rsidP="00507C70">
      <w:pPr>
        <w:ind w:left="360"/>
        <w:rPr>
          <w:rFonts w:cstheme="minorHAnsi"/>
          <w:sz w:val="20"/>
          <w:szCs w:val="20"/>
        </w:rPr>
      </w:pPr>
      <w:r w:rsidRPr="00283196">
        <w:rPr>
          <w:rFonts w:ascii="Segoe UI Emoji" w:hAnsi="Segoe UI Emoji" w:cs="Segoe UI Emoji"/>
          <w:sz w:val="20"/>
          <w:szCs w:val="20"/>
        </w:rPr>
        <w:t>🔗</w:t>
      </w:r>
      <w:r w:rsidRPr="00507C70">
        <w:rPr>
          <w:rFonts w:cstheme="minorHAnsi"/>
          <w:sz w:val="20"/>
          <w:szCs w:val="20"/>
        </w:rPr>
        <w:t xml:space="preserve"> </w:t>
      </w:r>
      <w:hyperlink r:id="rId12" w:tgtFrame="_blank" w:history="1">
        <w:r w:rsidRPr="00283196">
          <w:rPr>
            <w:rStyle w:val="Hyperlink"/>
            <w:rFonts w:cstheme="minorHAnsi"/>
            <w:sz w:val="20"/>
            <w:szCs w:val="20"/>
          </w:rPr>
          <w:t>Acesse a RDC nº 158/2021</w:t>
        </w:r>
      </w:hyperlink>
    </w:p>
    <w:p w14:paraId="6CAD1FF3" w14:textId="77777777" w:rsidR="00283196" w:rsidRPr="00507C70" w:rsidRDefault="00283196" w:rsidP="00507C70">
      <w:pPr>
        <w:rPr>
          <w:rFonts w:cstheme="minorHAnsi"/>
          <w:b/>
          <w:bCs/>
          <w:sz w:val="20"/>
          <w:szCs w:val="20"/>
        </w:rPr>
      </w:pPr>
    </w:p>
    <w:p w14:paraId="60D6C3A3" w14:textId="58A27D48" w:rsidR="00283196" w:rsidRPr="00283196" w:rsidRDefault="00283196" w:rsidP="00283196">
      <w:pPr>
        <w:rPr>
          <w:b/>
          <w:bCs/>
        </w:rPr>
      </w:pPr>
      <w:r w:rsidRPr="00283196">
        <w:rPr>
          <w:rFonts w:ascii="Segoe UI Emoji" w:hAnsi="Segoe UI Emoji" w:cs="Segoe UI Emoji"/>
          <w:b/>
          <w:bCs/>
        </w:rPr>
        <w:t>📌</w:t>
      </w:r>
      <w:r>
        <w:rPr>
          <w:b/>
          <w:bCs/>
        </w:rPr>
        <w:t xml:space="preserve"> </w:t>
      </w:r>
      <w:r w:rsidRPr="00283196">
        <w:rPr>
          <w:b/>
          <w:bCs/>
        </w:rPr>
        <w:t>Observações Importantes</w:t>
      </w:r>
    </w:p>
    <w:p w14:paraId="2A1C373B" w14:textId="5473D46F" w:rsidR="00283196" w:rsidRPr="00283196" w:rsidRDefault="00283196" w:rsidP="00507C70">
      <w:pPr>
        <w:numPr>
          <w:ilvl w:val="0"/>
          <w:numId w:val="16"/>
        </w:numPr>
        <w:rPr>
          <w:sz w:val="20"/>
          <w:szCs w:val="20"/>
        </w:rPr>
      </w:pPr>
      <w:r w:rsidRPr="00283196">
        <w:rPr>
          <w:b/>
          <w:bCs/>
          <w:sz w:val="20"/>
          <w:szCs w:val="20"/>
        </w:rPr>
        <w:t>IRAS (Infecções Relacionadas à Assistência à Saúde)</w:t>
      </w:r>
      <w:r w:rsidRPr="00507C70">
        <w:rPr>
          <w:sz w:val="20"/>
          <w:szCs w:val="20"/>
        </w:rPr>
        <w:t xml:space="preserve"> </w:t>
      </w:r>
      <w:r w:rsidRPr="00283196">
        <w:rPr>
          <w:sz w:val="20"/>
          <w:szCs w:val="20"/>
        </w:rPr>
        <w:t>não são normas, mas sim um tema tratado principalmente pela</w:t>
      </w:r>
      <w:r w:rsidRPr="00507C70">
        <w:rPr>
          <w:sz w:val="20"/>
          <w:szCs w:val="20"/>
        </w:rPr>
        <w:t xml:space="preserve"> </w:t>
      </w:r>
      <w:r w:rsidRPr="00283196">
        <w:rPr>
          <w:b/>
          <w:bCs/>
          <w:sz w:val="20"/>
          <w:szCs w:val="20"/>
        </w:rPr>
        <w:t>RDC 67/2020</w:t>
      </w:r>
      <w:r w:rsidRPr="00283196">
        <w:rPr>
          <w:sz w:val="20"/>
          <w:szCs w:val="20"/>
        </w:rPr>
        <w:t>.</w:t>
      </w:r>
    </w:p>
    <w:p w14:paraId="177FA54F" w14:textId="434BE9D6" w:rsidR="00283196" w:rsidRPr="00283196" w:rsidRDefault="00283196" w:rsidP="00507C70">
      <w:pPr>
        <w:numPr>
          <w:ilvl w:val="0"/>
          <w:numId w:val="16"/>
        </w:numPr>
        <w:rPr>
          <w:sz w:val="20"/>
          <w:szCs w:val="20"/>
        </w:rPr>
      </w:pPr>
      <w:r w:rsidRPr="00283196">
        <w:rPr>
          <w:sz w:val="20"/>
          <w:szCs w:val="20"/>
        </w:rPr>
        <w:t>O</w:t>
      </w:r>
      <w:r w:rsidRPr="00507C70">
        <w:rPr>
          <w:sz w:val="20"/>
          <w:szCs w:val="20"/>
        </w:rPr>
        <w:t xml:space="preserve"> </w:t>
      </w:r>
      <w:r w:rsidRPr="00283196">
        <w:rPr>
          <w:b/>
          <w:bCs/>
          <w:sz w:val="20"/>
          <w:szCs w:val="20"/>
        </w:rPr>
        <w:t>Escore MEWS</w:t>
      </w:r>
      <w:r w:rsidRPr="00507C70">
        <w:rPr>
          <w:sz w:val="20"/>
          <w:szCs w:val="20"/>
        </w:rPr>
        <w:t xml:space="preserve"> </w:t>
      </w:r>
      <w:r w:rsidRPr="00283196">
        <w:rPr>
          <w:sz w:val="20"/>
          <w:szCs w:val="20"/>
        </w:rPr>
        <w:t>não possui norma específica da Anvisa, mas sua aplicação é incentivada indiretamente pela</w:t>
      </w:r>
      <w:r w:rsidRPr="00507C70">
        <w:rPr>
          <w:sz w:val="20"/>
          <w:szCs w:val="20"/>
        </w:rPr>
        <w:t xml:space="preserve"> </w:t>
      </w:r>
      <w:r w:rsidRPr="00283196">
        <w:rPr>
          <w:b/>
          <w:bCs/>
          <w:sz w:val="20"/>
          <w:szCs w:val="20"/>
        </w:rPr>
        <w:t>RDC 36/2013</w:t>
      </w:r>
      <w:r w:rsidRPr="00507C70">
        <w:rPr>
          <w:sz w:val="20"/>
          <w:szCs w:val="20"/>
        </w:rPr>
        <w:t xml:space="preserve"> </w:t>
      </w:r>
      <w:r w:rsidRPr="00283196">
        <w:rPr>
          <w:sz w:val="20"/>
          <w:szCs w:val="20"/>
        </w:rPr>
        <w:t>e por protocolos do</w:t>
      </w:r>
      <w:r w:rsidRPr="00507C70">
        <w:rPr>
          <w:sz w:val="20"/>
          <w:szCs w:val="20"/>
        </w:rPr>
        <w:t xml:space="preserve"> </w:t>
      </w:r>
      <w:r w:rsidRPr="00283196">
        <w:rPr>
          <w:b/>
          <w:bCs/>
          <w:sz w:val="20"/>
          <w:szCs w:val="20"/>
        </w:rPr>
        <w:t>Programa Nacional de Segurança do Paciente</w:t>
      </w:r>
      <w:r w:rsidRPr="00283196">
        <w:rPr>
          <w:sz w:val="20"/>
          <w:szCs w:val="20"/>
        </w:rPr>
        <w:t>.</w:t>
      </w:r>
    </w:p>
    <w:p w14:paraId="16F57722" w14:textId="4FD3576D" w:rsidR="00283196" w:rsidRPr="00283196" w:rsidRDefault="00283196" w:rsidP="00507C70">
      <w:pPr>
        <w:numPr>
          <w:ilvl w:val="0"/>
          <w:numId w:val="16"/>
        </w:numPr>
        <w:rPr>
          <w:sz w:val="20"/>
          <w:szCs w:val="20"/>
        </w:rPr>
      </w:pPr>
      <w:r w:rsidRPr="00283196">
        <w:rPr>
          <w:sz w:val="20"/>
          <w:szCs w:val="20"/>
        </w:rPr>
        <w:t>Todos os links direcionam para o site oficial da</w:t>
      </w:r>
      <w:r w:rsidRPr="00507C70">
        <w:rPr>
          <w:sz w:val="20"/>
          <w:szCs w:val="20"/>
        </w:rPr>
        <w:t xml:space="preserve"> </w:t>
      </w:r>
      <w:r w:rsidRPr="00283196">
        <w:rPr>
          <w:b/>
          <w:bCs/>
          <w:sz w:val="20"/>
          <w:szCs w:val="20"/>
        </w:rPr>
        <w:t>BVS/MS</w:t>
      </w:r>
      <w:r w:rsidRPr="00507C70">
        <w:rPr>
          <w:sz w:val="20"/>
          <w:szCs w:val="20"/>
        </w:rPr>
        <w:t xml:space="preserve"> </w:t>
      </w:r>
      <w:r w:rsidRPr="00283196">
        <w:rPr>
          <w:sz w:val="20"/>
          <w:szCs w:val="20"/>
        </w:rPr>
        <w:t>ou</w:t>
      </w:r>
      <w:r w:rsidRPr="00507C70">
        <w:rPr>
          <w:sz w:val="20"/>
          <w:szCs w:val="20"/>
        </w:rPr>
        <w:t xml:space="preserve"> </w:t>
      </w:r>
      <w:r w:rsidRPr="00283196">
        <w:rPr>
          <w:b/>
          <w:bCs/>
          <w:sz w:val="20"/>
          <w:szCs w:val="20"/>
        </w:rPr>
        <w:t>Anvisa</w:t>
      </w:r>
      <w:r w:rsidRPr="00283196">
        <w:rPr>
          <w:sz w:val="20"/>
          <w:szCs w:val="20"/>
        </w:rPr>
        <w:t>, onde é possível baixar os textos completos em PDF.</w:t>
      </w:r>
    </w:p>
    <w:p w14:paraId="7977F9CB" w14:textId="77777777" w:rsidR="00283196" w:rsidRPr="00507C70" w:rsidRDefault="00283196" w:rsidP="00507C70">
      <w:pPr>
        <w:rPr>
          <w:sz w:val="20"/>
          <w:szCs w:val="20"/>
        </w:rPr>
      </w:pPr>
    </w:p>
    <w:p w14:paraId="0FC7D2F2" w14:textId="7FF441D6" w:rsidR="003553E9" w:rsidRDefault="003553E9" w:rsidP="00670F39">
      <w:r>
        <w:br w:type="page"/>
      </w:r>
    </w:p>
    <w:p w14:paraId="588EAA39" w14:textId="5F0CEE4A" w:rsidR="003553E9" w:rsidRDefault="003553E9" w:rsidP="009761EE">
      <w:pPr>
        <w:pStyle w:val="Ttulo2"/>
      </w:pPr>
      <w:proofErr w:type="spellStart"/>
      <w:r w:rsidRPr="003553E9">
        <w:lastRenderedPageBreak/>
        <w:t>RDSs</w:t>
      </w:r>
      <w:proofErr w:type="spellEnd"/>
      <w:r w:rsidRPr="003553E9">
        <w:t xml:space="preserve"> e </w:t>
      </w:r>
      <w:proofErr w:type="spellStart"/>
      <w:r w:rsidRPr="003553E9">
        <w:t>INs</w:t>
      </w:r>
      <w:proofErr w:type="spellEnd"/>
      <w:r w:rsidRPr="003553E9">
        <w:t xml:space="preserve"> que estabelecem normas e critérios para a aplicação do Escore MEWS</w:t>
      </w:r>
    </w:p>
    <w:p w14:paraId="068E6E8A" w14:textId="624BE11F" w:rsidR="00CA7045" w:rsidRPr="00CA7045" w:rsidRDefault="00CA7045" w:rsidP="00670F39">
      <w:r w:rsidRPr="00CA7045">
        <w:t>Não existe uma RDC (Resolução da Diretoria Colegiada) ou IN (Instrução Normativa) da ANVISA que estabeleça normas e critérios</w:t>
      </w:r>
      <w:r w:rsidR="006363FD" w:rsidRPr="006363FD">
        <w:t xml:space="preserve"> </w:t>
      </w:r>
      <w:r w:rsidRPr="00CA7045">
        <w:rPr>
          <w:i/>
          <w:iCs/>
        </w:rPr>
        <w:t>específicos</w:t>
      </w:r>
      <w:r w:rsidR="006363FD" w:rsidRPr="006363FD">
        <w:t xml:space="preserve"> </w:t>
      </w:r>
      <w:r w:rsidRPr="00CA7045">
        <w:t>para a aplicação do Escore MEWS (</w:t>
      </w:r>
      <w:proofErr w:type="spellStart"/>
      <w:r w:rsidRPr="00CA7045">
        <w:t>Modified</w:t>
      </w:r>
      <w:proofErr w:type="spellEnd"/>
      <w:r w:rsidRPr="00CA7045">
        <w:t xml:space="preserve"> Early </w:t>
      </w:r>
      <w:proofErr w:type="spellStart"/>
      <w:r w:rsidRPr="00CA7045">
        <w:t>Warning</w:t>
      </w:r>
      <w:proofErr w:type="spellEnd"/>
      <w:r w:rsidRPr="00CA7045">
        <w:t xml:space="preserve"> Score).</w:t>
      </w:r>
    </w:p>
    <w:p w14:paraId="2133633A" w14:textId="77777777" w:rsidR="00CA7045" w:rsidRPr="00CA7045" w:rsidRDefault="00CA7045" w:rsidP="00670F39">
      <w:r w:rsidRPr="00CA7045">
        <w:t>A confusão é comum, mas a regulação funciona de forma diferente. Deixe-me explicar detalhadamente como a obrigatoriedade do MEWS é instituída no Brasil:</w:t>
      </w:r>
    </w:p>
    <w:p w14:paraId="4B72594C" w14:textId="004607AA" w:rsidR="00CA7045" w:rsidRPr="00CA7045" w:rsidRDefault="00CA7045" w:rsidP="00836DA8">
      <w:pPr>
        <w:pStyle w:val="PargrafodaLista"/>
        <w:numPr>
          <w:ilvl w:val="0"/>
          <w:numId w:val="12"/>
        </w:numPr>
      </w:pPr>
      <w:r w:rsidRPr="00CA7045">
        <w:t xml:space="preserve">O Marco Legal Indireto: A RDC </w:t>
      </w:r>
      <w:r w:rsidR="006363FD" w:rsidRPr="00CA7045">
        <w:t>que torna</w:t>
      </w:r>
      <w:r w:rsidRPr="00CA7045">
        <w:t xml:space="preserve"> o MEWS Obrigatório</w:t>
      </w:r>
    </w:p>
    <w:p w14:paraId="7CD89F68" w14:textId="77777777" w:rsidR="00CA7045" w:rsidRPr="00CA7045" w:rsidRDefault="00CA7045" w:rsidP="00670F39">
      <w:r w:rsidRPr="00CA7045">
        <w:t>A obrigação de usar ferramentas como o MEWS vem de uma norma mais ampla de segurança do paciente. A norma chave é:</w:t>
      </w:r>
    </w:p>
    <w:p w14:paraId="1D686114" w14:textId="77777777" w:rsidR="00CA7045" w:rsidRPr="00CA7045" w:rsidRDefault="00CA7045" w:rsidP="00836DA8">
      <w:pPr>
        <w:pStyle w:val="PargrafodaLista"/>
        <w:numPr>
          <w:ilvl w:val="0"/>
          <w:numId w:val="12"/>
        </w:numPr>
      </w:pPr>
      <w:r w:rsidRPr="00CA7045">
        <w:t>RDC Nº 36, de 25 de julho de 2013</w:t>
      </w:r>
    </w:p>
    <w:p w14:paraId="4860FF54" w14:textId="33DD950A" w:rsidR="00CA7045" w:rsidRPr="00CA7045" w:rsidRDefault="00CA7045" w:rsidP="00836DA8">
      <w:pPr>
        <w:pStyle w:val="PargrafodaLista"/>
        <w:numPr>
          <w:ilvl w:val="1"/>
          <w:numId w:val="12"/>
        </w:numPr>
      </w:pPr>
      <w:r w:rsidRPr="00670F39">
        <w:rPr>
          <w:b/>
          <w:bCs/>
        </w:rPr>
        <w:t>Título:</w:t>
      </w:r>
      <w:r w:rsidR="006363FD">
        <w:t xml:space="preserve"> </w:t>
      </w:r>
      <w:r w:rsidRPr="00CA7045">
        <w:t>"Institui ações para a segurança do paciente em serviços de saúde e dá outras providências."</w:t>
      </w:r>
    </w:p>
    <w:p w14:paraId="4C3002CC" w14:textId="7BE43990" w:rsidR="00CA7045" w:rsidRPr="00CA7045" w:rsidRDefault="00CA7045" w:rsidP="00836DA8">
      <w:pPr>
        <w:pStyle w:val="PargrafodaLista"/>
        <w:numPr>
          <w:ilvl w:val="1"/>
          <w:numId w:val="12"/>
        </w:numPr>
      </w:pPr>
      <w:r w:rsidRPr="00670F39">
        <w:rPr>
          <w:b/>
          <w:bCs/>
        </w:rPr>
        <w:t>O que ela faz:</w:t>
      </w:r>
      <w:r w:rsidR="006363FD">
        <w:t xml:space="preserve"> </w:t>
      </w:r>
      <w:r w:rsidRPr="00CA7045">
        <w:t>Esta resolução é o marco legal nacional para a segurança do paciente. Ela obriga os hospitais a criarem um</w:t>
      </w:r>
      <w:r w:rsidR="006363FD">
        <w:t xml:space="preserve"> </w:t>
      </w:r>
      <w:r w:rsidRPr="00670F39">
        <w:rPr>
          <w:b/>
          <w:bCs/>
        </w:rPr>
        <w:t>Núcleo de Segurança do Paciente (NSP)</w:t>
      </w:r>
      <w:r w:rsidR="006363FD">
        <w:t xml:space="preserve"> </w:t>
      </w:r>
      <w:r w:rsidRPr="00CA7045">
        <w:t>e a implementarem</w:t>
      </w:r>
      <w:r w:rsidR="006363FD">
        <w:t xml:space="preserve"> </w:t>
      </w:r>
      <w:r w:rsidRPr="00670F39">
        <w:rPr>
          <w:b/>
          <w:bCs/>
        </w:rPr>
        <w:t>protocolos básicos de segurança</w:t>
      </w:r>
      <w:r w:rsidRPr="00CA7045">
        <w:t>.</w:t>
      </w:r>
    </w:p>
    <w:p w14:paraId="68E8184F" w14:textId="784E3848" w:rsidR="00CA7045" w:rsidRPr="00CA7045" w:rsidRDefault="00CA7045" w:rsidP="00670F39">
      <w:r w:rsidRPr="00CA7045">
        <w:t>O "pulo do gato" está no</w:t>
      </w:r>
      <w:r w:rsidR="006363FD">
        <w:t xml:space="preserve"> </w:t>
      </w:r>
      <w:r w:rsidRPr="00CA7045">
        <w:rPr>
          <w:b/>
          <w:bCs/>
        </w:rPr>
        <w:t>Anexo II</w:t>
      </w:r>
      <w:r w:rsidR="006363FD">
        <w:t xml:space="preserve"> </w:t>
      </w:r>
      <w:r w:rsidRPr="00CA7045">
        <w:t>desta RDC, que define os protocolos obrigatórios. Um deles é:</w:t>
      </w:r>
    </w:p>
    <w:p w14:paraId="2AF9847D" w14:textId="77777777" w:rsidR="00CA7045" w:rsidRPr="00CA7045" w:rsidRDefault="00CA7045" w:rsidP="00670F39">
      <w:r w:rsidRPr="00CA7045">
        <w:t>"Protocolo de Prevenção de Eventos Adversos em Pacientes Internados em Unidades de Internação e Urgência e Emergência".</w:t>
      </w:r>
    </w:p>
    <w:p w14:paraId="415C7791" w14:textId="2F98C83A" w:rsidR="00CA7045" w:rsidRPr="00CA7045" w:rsidRDefault="00CA7045" w:rsidP="00670F39">
      <w:r w:rsidRPr="00CA7045">
        <w:t>É</w:t>
      </w:r>
      <w:r w:rsidR="006363FD">
        <w:t xml:space="preserve"> </w:t>
      </w:r>
      <w:r w:rsidRPr="00CA7045">
        <w:rPr>
          <w:b/>
          <w:bCs/>
        </w:rPr>
        <w:t>dentro deste protocolo</w:t>
      </w:r>
      <w:r w:rsidR="006363FD">
        <w:t xml:space="preserve"> </w:t>
      </w:r>
      <w:r w:rsidRPr="00CA7045">
        <w:t>que a ferramenta MEWS (ou outras similares) se encaixa como uma das principais ações. A RDC 36 não cita "MEWS" pelo nome, mas exige a implementação de um</w:t>
      </w:r>
      <w:r w:rsidR="006363FD">
        <w:t xml:space="preserve"> </w:t>
      </w:r>
      <w:r w:rsidRPr="00CA7045">
        <w:rPr>
          <w:b/>
          <w:bCs/>
        </w:rPr>
        <w:t>sistema de detecção precoce de agravamento</w:t>
      </w:r>
      <w:r w:rsidRPr="00CA7045">
        <w:t>, que é a função central do MEWS.</w:t>
      </w:r>
    </w:p>
    <w:p w14:paraId="1363CC72" w14:textId="77777777" w:rsidR="00CA7045" w:rsidRPr="00CA7045" w:rsidRDefault="00CA7045" w:rsidP="00836DA8">
      <w:pPr>
        <w:pStyle w:val="PargrafodaLista"/>
        <w:numPr>
          <w:ilvl w:val="0"/>
          <w:numId w:val="12"/>
        </w:numPr>
      </w:pPr>
      <w:r w:rsidRPr="00CA7045">
        <w:t>Por que o MEWS é a Ferramenta Mais Usada?</w:t>
      </w:r>
    </w:p>
    <w:p w14:paraId="76A6F1ED" w14:textId="77777777" w:rsidR="00CA7045" w:rsidRPr="00CA7045" w:rsidRDefault="00CA7045" w:rsidP="00670F39">
      <w:r w:rsidRPr="00CA7045">
        <w:t>Se a RDC não especifica, por que o MEWS se tornou padrão? A resposta está na cadeia de regulamentação:</w:t>
      </w:r>
    </w:p>
    <w:p w14:paraId="7D9BF9FE" w14:textId="045BA601" w:rsidR="00CA7045" w:rsidRPr="00CA7045" w:rsidRDefault="00CA7045" w:rsidP="00836DA8">
      <w:pPr>
        <w:pStyle w:val="PargrafodaLista"/>
        <w:numPr>
          <w:ilvl w:val="0"/>
          <w:numId w:val="13"/>
        </w:numPr>
      </w:pPr>
      <w:r w:rsidRPr="00670F39">
        <w:rPr>
          <w:b/>
          <w:bCs/>
        </w:rPr>
        <w:t>Ministério da Saúde / ANVISA:</w:t>
      </w:r>
      <w:r w:rsidR="006363FD">
        <w:t xml:space="preserve"> </w:t>
      </w:r>
      <w:r w:rsidRPr="00CA7045">
        <w:t>Emitem a regulação de alto nível (RDC 36): "Vocês devem ter um sistema de detecção precoce".</w:t>
      </w:r>
    </w:p>
    <w:p w14:paraId="63D290DD" w14:textId="48548079" w:rsidR="00CA7045" w:rsidRPr="00CA7045" w:rsidRDefault="00CA7045" w:rsidP="00836DA8">
      <w:pPr>
        <w:pStyle w:val="PargrafodaLista"/>
        <w:numPr>
          <w:ilvl w:val="0"/>
          <w:numId w:val="13"/>
        </w:numPr>
      </w:pPr>
      <w:r w:rsidRPr="00670F39">
        <w:rPr>
          <w:b/>
          <w:bCs/>
        </w:rPr>
        <w:t>Programa Nacional de Segurança do Paciente (PNSP):</w:t>
      </w:r>
      <w:r w:rsidR="006363FD">
        <w:t xml:space="preserve"> </w:t>
      </w:r>
      <w:r w:rsidRPr="00CA7045">
        <w:t>Para operacionalizar a RDC 36, o PNSP publica ferramentas de apoio e guias. Em seus materiais, o MEWS é frequentemente citado e recomendado como a ferramenta preferencial para a monitorização de pacientes adultos nas enfermarias.</w:t>
      </w:r>
    </w:p>
    <w:p w14:paraId="200C5769" w14:textId="07EAA33C" w:rsidR="00CA7045" w:rsidRPr="00CA7045" w:rsidRDefault="00CA7045" w:rsidP="00836DA8">
      <w:pPr>
        <w:pStyle w:val="PargrafodaLista"/>
        <w:numPr>
          <w:ilvl w:val="0"/>
          <w:numId w:val="13"/>
        </w:numPr>
      </w:pPr>
      <w:r w:rsidRPr="00670F39">
        <w:rPr>
          <w:b/>
          <w:bCs/>
        </w:rPr>
        <w:t>Hospitais e Sistemas de Saúde:</w:t>
      </w:r>
      <w:r w:rsidR="006363FD">
        <w:t xml:space="preserve"> </w:t>
      </w:r>
      <w:r w:rsidRPr="00CA7045">
        <w:t>Cada instituição, por meio de seu Núcleo de Segurança do Paciente (NSP) e Comissões, desenvolve seu</w:t>
      </w:r>
      <w:r w:rsidR="006363FD">
        <w:t xml:space="preserve"> </w:t>
      </w:r>
      <w:r w:rsidRPr="00670F39">
        <w:rPr>
          <w:b/>
          <w:bCs/>
        </w:rPr>
        <w:t>protocolo interno</w:t>
      </w:r>
      <w:r w:rsidRPr="00CA7045">
        <w:t>. Esse protocolo é que vai:</w:t>
      </w:r>
    </w:p>
    <w:p w14:paraId="14822AEB" w14:textId="3754282C" w:rsidR="00CA7045" w:rsidRPr="00CA7045" w:rsidRDefault="00CA7045" w:rsidP="00836DA8">
      <w:pPr>
        <w:pStyle w:val="PargrafodaLista"/>
        <w:numPr>
          <w:ilvl w:val="1"/>
          <w:numId w:val="13"/>
        </w:numPr>
      </w:pPr>
      <w:r w:rsidRPr="00670F39">
        <w:rPr>
          <w:b/>
          <w:bCs/>
        </w:rPr>
        <w:t>Adotar oficialmente o MEWS</w:t>
      </w:r>
      <w:r w:rsidR="006363FD">
        <w:t xml:space="preserve"> </w:t>
      </w:r>
      <w:r w:rsidRPr="00CA7045">
        <w:t>(ou outro escore) como ferramenta padrão.</w:t>
      </w:r>
    </w:p>
    <w:p w14:paraId="60B52FB1" w14:textId="3F951A34" w:rsidR="00CA7045" w:rsidRPr="00CA7045" w:rsidRDefault="00CA7045" w:rsidP="00836DA8">
      <w:pPr>
        <w:pStyle w:val="PargrafodaLista"/>
        <w:numPr>
          <w:ilvl w:val="1"/>
          <w:numId w:val="13"/>
        </w:numPr>
      </w:pPr>
      <w:r w:rsidRPr="00670F39">
        <w:rPr>
          <w:b/>
          <w:bCs/>
        </w:rPr>
        <w:t>Definir os parâmetros exatos</w:t>
      </w:r>
      <w:r w:rsidR="006363FD">
        <w:t xml:space="preserve"> </w:t>
      </w:r>
      <w:r w:rsidRPr="00CA7045">
        <w:t>a serem medidos (ex.: faixas de pressão arterial, frequência respiratória, escala de AVPU).</w:t>
      </w:r>
    </w:p>
    <w:p w14:paraId="21F38D97" w14:textId="66D3E628" w:rsidR="00CA7045" w:rsidRPr="00CA7045" w:rsidRDefault="00CA7045" w:rsidP="00836DA8">
      <w:pPr>
        <w:pStyle w:val="PargrafodaLista"/>
        <w:numPr>
          <w:ilvl w:val="1"/>
          <w:numId w:val="13"/>
        </w:numPr>
      </w:pPr>
      <w:r w:rsidRPr="00670F39">
        <w:rPr>
          <w:b/>
          <w:bCs/>
        </w:rPr>
        <w:t>Estabelecer os gatilhos de ação</w:t>
      </w:r>
      <w:r w:rsidR="006363FD">
        <w:t xml:space="preserve"> </w:t>
      </w:r>
      <w:r w:rsidRPr="00CA7045">
        <w:t>(ex.: MEWS ≥ 3, acionar a equipe de resposta rápida ou o médico assistente).</w:t>
      </w:r>
    </w:p>
    <w:p w14:paraId="178BB01A" w14:textId="5E576508" w:rsidR="00CA7045" w:rsidRDefault="00CA7045" w:rsidP="00836DA8">
      <w:pPr>
        <w:pStyle w:val="PargrafodaLista"/>
        <w:numPr>
          <w:ilvl w:val="0"/>
          <w:numId w:val="12"/>
        </w:numPr>
      </w:pPr>
      <w:r w:rsidRPr="00CA7045">
        <w:t>Resumo Prático:</w:t>
      </w:r>
    </w:p>
    <w:tbl>
      <w:tblPr>
        <w:tblStyle w:val="TabelaSimples5"/>
        <w:tblW w:w="0" w:type="auto"/>
        <w:tblLook w:val="04A0" w:firstRow="1" w:lastRow="0" w:firstColumn="1" w:lastColumn="0" w:noHBand="0" w:noVBand="1"/>
      </w:tblPr>
      <w:tblGrid>
        <w:gridCol w:w="2128"/>
        <w:gridCol w:w="3583"/>
        <w:gridCol w:w="3927"/>
      </w:tblGrid>
      <w:tr w:rsidR="00670F39" w:rsidRPr="00B94B38" w14:paraId="4FC63F4E" w14:textId="77777777" w:rsidTr="00B94B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4EF8B8B" w14:textId="77777777" w:rsidR="00CA7045" w:rsidRPr="00B94B38" w:rsidRDefault="00CA7045" w:rsidP="00B94B38">
            <w:pPr>
              <w:pStyle w:val="Tabela1"/>
              <w:rPr>
                <w:b/>
                <w:bCs/>
                <w:i w:val="0"/>
                <w:iCs/>
              </w:rPr>
            </w:pPr>
            <w:r w:rsidRPr="00B94B38">
              <w:rPr>
                <w:b/>
                <w:bCs/>
                <w:i w:val="0"/>
                <w:iCs/>
              </w:rPr>
              <w:t>O que a Norma Faz</w:t>
            </w:r>
          </w:p>
        </w:tc>
        <w:tc>
          <w:tcPr>
            <w:tcW w:w="0" w:type="auto"/>
            <w:hideMark/>
          </w:tcPr>
          <w:p w14:paraId="54C932E1" w14:textId="77777777" w:rsidR="00CA7045" w:rsidRPr="00B94B38" w:rsidRDefault="00CA7045" w:rsidP="00B94B38">
            <w:pPr>
              <w:pStyle w:val="Tabela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/>
              </w:rPr>
            </w:pPr>
            <w:r w:rsidRPr="00B94B38">
              <w:rPr>
                <w:b/>
                <w:bCs/>
                <w:i w:val="0"/>
                <w:iCs/>
              </w:rPr>
              <w:t>Instrumento Legal</w:t>
            </w:r>
          </w:p>
        </w:tc>
        <w:tc>
          <w:tcPr>
            <w:tcW w:w="0" w:type="auto"/>
            <w:hideMark/>
          </w:tcPr>
          <w:p w14:paraId="45B1C458" w14:textId="77777777" w:rsidR="00CA7045" w:rsidRPr="00B94B38" w:rsidRDefault="00CA7045" w:rsidP="00B94B38">
            <w:pPr>
              <w:pStyle w:val="Tabela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/>
              </w:rPr>
            </w:pPr>
            <w:r w:rsidRPr="00B94B38">
              <w:rPr>
                <w:b/>
                <w:bCs/>
                <w:i w:val="0"/>
                <w:iCs/>
              </w:rPr>
              <w:t xml:space="preserve">Como </w:t>
            </w:r>
            <w:proofErr w:type="gramStart"/>
            <w:r w:rsidRPr="00B94B38">
              <w:rPr>
                <w:b/>
                <w:bCs/>
                <w:i w:val="0"/>
                <w:iCs/>
              </w:rPr>
              <w:t>se Relaciona</w:t>
            </w:r>
            <w:proofErr w:type="gramEnd"/>
            <w:r w:rsidRPr="00B94B38">
              <w:rPr>
                <w:b/>
                <w:bCs/>
                <w:i w:val="0"/>
                <w:iCs/>
              </w:rPr>
              <w:t xml:space="preserve"> com o MEWS</w:t>
            </w:r>
          </w:p>
        </w:tc>
      </w:tr>
      <w:tr w:rsidR="00670F39" w:rsidRPr="00CA7045" w14:paraId="11FBE114" w14:textId="77777777" w:rsidTr="00B94B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5" w:themeFillTint="33"/>
            <w:hideMark/>
          </w:tcPr>
          <w:p w14:paraId="03777D4A" w14:textId="77777777" w:rsidR="00CA7045" w:rsidRPr="00CA7045" w:rsidRDefault="00CA7045" w:rsidP="00B94B38">
            <w:pPr>
              <w:pStyle w:val="Tabela1"/>
            </w:pPr>
            <w:r w:rsidRPr="00CA7045">
              <w:t>Torna obrigatória a detecção precoce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1A0E2D38" w14:textId="086FAB4D" w:rsidR="00CA7045" w:rsidRPr="00CA7045" w:rsidRDefault="00CA7045" w:rsidP="00B94B38">
            <w:pPr>
              <w:pStyle w:val="Tabela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7045">
              <w:t>RDC Nº 36/2013</w:t>
            </w:r>
            <w:r w:rsidR="006363FD">
              <w:t xml:space="preserve"> </w:t>
            </w:r>
            <w:r w:rsidRPr="00CA7045">
              <w:t>(Anexo II)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2CE96CB3" w14:textId="77777777" w:rsidR="00CA7045" w:rsidRPr="00CA7045" w:rsidRDefault="00CA7045" w:rsidP="00B94B38">
            <w:pPr>
              <w:pStyle w:val="Tabela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7045">
              <w:t>Estabelece a necessidade de um "sistema de alerta" para pacientes que se agravam. É a base legal INDIRETA.</w:t>
            </w:r>
          </w:p>
        </w:tc>
      </w:tr>
      <w:tr w:rsidR="00B94B38" w:rsidRPr="00CA7045" w14:paraId="53173F90" w14:textId="77777777" w:rsidTr="00B94B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F66BC6" w14:textId="77777777" w:rsidR="00CA7045" w:rsidRPr="00CA7045" w:rsidRDefault="00CA7045" w:rsidP="00B94B38">
            <w:pPr>
              <w:pStyle w:val="Tabela1"/>
            </w:pPr>
            <w:r w:rsidRPr="00CA7045">
              <w:t>Recomenda e detalha o uso do MEWS</w:t>
            </w:r>
          </w:p>
        </w:tc>
        <w:tc>
          <w:tcPr>
            <w:tcW w:w="0" w:type="auto"/>
            <w:hideMark/>
          </w:tcPr>
          <w:p w14:paraId="3691448D" w14:textId="0ED64997" w:rsidR="00CA7045" w:rsidRPr="00CA7045" w:rsidRDefault="00CA7045" w:rsidP="00B94B38">
            <w:pPr>
              <w:pStyle w:val="Tabel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7045">
              <w:t>Documentos do Programa Nacional de Segurança do Paciente (PNSP)</w:t>
            </w:r>
            <w:r w:rsidR="006363FD">
              <w:t xml:space="preserve"> </w:t>
            </w:r>
            <w:r w:rsidRPr="00CA7045">
              <w:t>e</w:t>
            </w:r>
            <w:r w:rsidR="006363FD">
              <w:t xml:space="preserve"> </w:t>
            </w:r>
            <w:r w:rsidRPr="00CA7045">
              <w:t>Manuais do Ministério da Saúde</w:t>
            </w:r>
          </w:p>
        </w:tc>
        <w:tc>
          <w:tcPr>
            <w:tcW w:w="0" w:type="auto"/>
            <w:hideMark/>
          </w:tcPr>
          <w:p w14:paraId="7DFFA2D8" w14:textId="77777777" w:rsidR="00CA7045" w:rsidRPr="00CA7045" w:rsidRDefault="00CA7045" w:rsidP="00B94B38">
            <w:pPr>
              <w:pStyle w:val="Tabela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7045">
              <w:t>Fornece a diretriz técnica e operacional, indicando o MEWS como a ferramenta preferencial.</w:t>
            </w:r>
          </w:p>
        </w:tc>
      </w:tr>
      <w:tr w:rsidR="00670F39" w:rsidRPr="00CA7045" w14:paraId="3EB07D58" w14:textId="77777777" w:rsidTr="00B94B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5" w:themeFillTint="33"/>
            <w:hideMark/>
          </w:tcPr>
          <w:p w14:paraId="3DEE6455" w14:textId="0A3A3923" w:rsidR="00CA7045" w:rsidRPr="00CA7045" w:rsidRDefault="00CA7045" w:rsidP="00B94B38">
            <w:pPr>
              <w:pStyle w:val="Tabela1"/>
            </w:pPr>
            <w:r w:rsidRPr="00CA7045">
              <w:t>Torna o MEWS obrigatório</w:t>
            </w:r>
            <w:r w:rsidR="006363FD">
              <w:t xml:space="preserve"> </w:t>
            </w:r>
            <w:r w:rsidRPr="00CA7045">
              <w:t>em um hospital específico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7D8BF5BB" w14:textId="23E6A4C5" w:rsidR="00CA7045" w:rsidRPr="00CA7045" w:rsidRDefault="00CA7045" w:rsidP="00B94B38">
            <w:pPr>
              <w:pStyle w:val="Tabela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7045">
              <w:t>Protocolo Interno do Hospital</w:t>
            </w:r>
            <w:r w:rsidR="006363FD">
              <w:t xml:space="preserve"> </w:t>
            </w:r>
            <w:r w:rsidRPr="00CA7045">
              <w:t>(baseado na RDC 36)</w:t>
            </w:r>
          </w:p>
        </w:tc>
        <w:tc>
          <w:tcPr>
            <w:tcW w:w="0" w:type="auto"/>
            <w:shd w:val="clear" w:color="auto" w:fill="DEEAF6" w:themeFill="accent5" w:themeFillTint="33"/>
            <w:hideMark/>
          </w:tcPr>
          <w:p w14:paraId="7D5EF380" w14:textId="77777777" w:rsidR="00CA7045" w:rsidRPr="00CA7045" w:rsidRDefault="00CA7045" w:rsidP="00B94B38">
            <w:pPr>
              <w:pStyle w:val="Tabela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7045">
              <w:t>É a norma DIRETA para o profissional. Define os critérios, escores e ações a serem tomadas no seu local de trabalho.</w:t>
            </w:r>
          </w:p>
        </w:tc>
      </w:tr>
    </w:tbl>
    <w:p w14:paraId="2D207AB0" w14:textId="77777777" w:rsidR="00C20FBF" w:rsidRDefault="00C20FBF" w:rsidP="00C20FBF"/>
    <w:p w14:paraId="13C57EF3" w14:textId="4F814427" w:rsidR="00CA7045" w:rsidRPr="00CA7045" w:rsidRDefault="00CA7045" w:rsidP="00836DA8">
      <w:pPr>
        <w:pStyle w:val="PargrafodaLista"/>
        <w:numPr>
          <w:ilvl w:val="0"/>
          <w:numId w:val="12"/>
        </w:numPr>
      </w:pPr>
      <w:r w:rsidRPr="00CA7045">
        <w:lastRenderedPageBreak/>
        <w:t>Conclusão:</w:t>
      </w:r>
    </w:p>
    <w:p w14:paraId="1AA3EBEC" w14:textId="77777777" w:rsidR="00CA7045" w:rsidRPr="00CA7045" w:rsidRDefault="00CA7045" w:rsidP="00670F39">
      <w:r w:rsidRPr="00CA7045">
        <w:t>Para encontrar as "normas e critérios" para a aplicação do Escore MEWS, você deve consultar, em ordem de importância:</w:t>
      </w:r>
    </w:p>
    <w:p w14:paraId="1D9E86B1" w14:textId="25CE9F70" w:rsidR="00CA7045" w:rsidRPr="00CA7045" w:rsidRDefault="00CA7045" w:rsidP="00836DA8">
      <w:pPr>
        <w:pStyle w:val="PargrafodaLista"/>
        <w:numPr>
          <w:ilvl w:val="0"/>
          <w:numId w:val="14"/>
        </w:numPr>
      </w:pPr>
      <w:r w:rsidRPr="00670F39">
        <w:rPr>
          <w:b/>
          <w:bCs/>
        </w:rPr>
        <w:t>O Protocolo de Detecção Precoce de Agravamento do seu Hospital:</w:t>
      </w:r>
      <w:r w:rsidR="006363FD">
        <w:t xml:space="preserve"> </w:t>
      </w:r>
      <w:r w:rsidRPr="00CA7045">
        <w:t>Este é o documento que tem força de lei dentro da sua instituição.</w:t>
      </w:r>
    </w:p>
    <w:p w14:paraId="65A1F27D" w14:textId="322230AC" w:rsidR="00CA7045" w:rsidRPr="00CA7045" w:rsidRDefault="00CA7045" w:rsidP="00836DA8">
      <w:pPr>
        <w:pStyle w:val="PargrafodaLista"/>
        <w:numPr>
          <w:ilvl w:val="0"/>
          <w:numId w:val="14"/>
        </w:numPr>
      </w:pPr>
      <w:r w:rsidRPr="00CA7045">
        <w:t>Os Manuais e Circulares do Ministério da Saúde/PNSP:</w:t>
      </w:r>
      <w:r w:rsidR="006363FD">
        <w:t xml:space="preserve"> </w:t>
      </w:r>
      <w:r w:rsidRPr="00CA7045">
        <w:t>Que fornecem a padronização nacional recomendada.</w:t>
      </w:r>
    </w:p>
    <w:p w14:paraId="10E09C79" w14:textId="1A35565A" w:rsidR="00CA7045" w:rsidRPr="00CA7045" w:rsidRDefault="00CA7045" w:rsidP="00836DA8">
      <w:pPr>
        <w:pStyle w:val="PargrafodaLista"/>
        <w:numPr>
          <w:ilvl w:val="0"/>
          <w:numId w:val="14"/>
        </w:numPr>
      </w:pPr>
      <w:r w:rsidRPr="00670F39">
        <w:rPr>
          <w:b/>
          <w:bCs/>
        </w:rPr>
        <w:t>A RDC Nº 36/2013 da ANVISA:</w:t>
      </w:r>
      <w:r w:rsidR="006363FD">
        <w:t xml:space="preserve"> </w:t>
      </w:r>
      <w:r w:rsidRPr="00CA7045">
        <w:t>Que é a base legal que obriga a existência do protocolo.</w:t>
      </w:r>
    </w:p>
    <w:p w14:paraId="13DF997D" w14:textId="78541A47" w:rsidR="00CA7045" w:rsidRPr="00CA7045" w:rsidRDefault="00CA7045" w:rsidP="00670F39">
      <w:r w:rsidRPr="00CA7045">
        <w:t>Portanto, a afirmação correta é:</w:t>
      </w:r>
      <w:r w:rsidR="006363FD">
        <w:t xml:space="preserve"> </w:t>
      </w:r>
      <w:r w:rsidRPr="00CA7045">
        <w:t>A aplicação do Escore MEWS é uma exigência indireta da RDC 36/2013 da ANVISA, implementada por meio de protocolos institucionais baseados nas diretrizes do Programa Nacional de Segurança do Paciente.</w:t>
      </w:r>
    </w:p>
    <w:p w14:paraId="181B31AA" w14:textId="122CBB5B" w:rsidR="003553E9" w:rsidRDefault="003553E9" w:rsidP="00670F39"/>
    <w:p w14:paraId="591C430F" w14:textId="77777777" w:rsidR="005A24C7" w:rsidRPr="00D13925" w:rsidRDefault="005A24C7" w:rsidP="00670F39"/>
    <w:sectPr w:rsidR="005A24C7" w:rsidRPr="00D13925" w:rsidSect="00C20FBF">
      <w:pgSz w:w="11906" w:h="16838"/>
      <w:pgMar w:top="85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dis">
    <w:panose1 w:val="00000500000000000000"/>
    <w:charset w:val="00"/>
    <w:family w:val="auto"/>
    <w:pitch w:val="variable"/>
    <w:sig w:usb0="00000007" w:usb1="00000000" w:usb2="00000000" w:usb3="00000000" w:csb0="00000093" w:csb1="00000000"/>
  </w:font>
  <w:font w:name="Times New Roman (Corpo CS)">
    <w:altName w:val="Times New Roman"/>
    <w:charset w:val="00"/>
    <w:family w:val="roman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A6408"/>
    <w:multiLevelType w:val="multilevel"/>
    <w:tmpl w:val="0AFE1E02"/>
    <w:lvl w:ilvl="0">
      <w:start w:val="1"/>
      <w:numFmt w:val="bullet"/>
      <w:pStyle w:val="Ttulo3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pStyle w:val="Ttulo4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pStyle w:val="Ttulo5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pStyle w:val="Ttulo6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C59E0"/>
    <w:multiLevelType w:val="multilevel"/>
    <w:tmpl w:val="7798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157A8"/>
    <w:multiLevelType w:val="multilevel"/>
    <w:tmpl w:val="2F6A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D0813"/>
    <w:multiLevelType w:val="multilevel"/>
    <w:tmpl w:val="C3BE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3072B"/>
    <w:multiLevelType w:val="multilevel"/>
    <w:tmpl w:val="3E303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3F37CF"/>
    <w:multiLevelType w:val="multilevel"/>
    <w:tmpl w:val="7552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6B4738"/>
    <w:multiLevelType w:val="multilevel"/>
    <w:tmpl w:val="FC60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B357F9"/>
    <w:multiLevelType w:val="multilevel"/>
    <w:tmpl w:val="755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8D79B9"/>
    <w:multiLevelType w:val="multilevel"/>
    <w:tmpl w:val="E61EC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E84616"/>
    <w:multiLevelType w:val="multilevel"/>
    <w:tmpl w:val="1578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6564B2"/>
    <w:multiLevelType w:val="multilevel"/>
    <w:tmpl w:val="9D402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840E46"/>
    <w:multiLevelType w:val="multilevel"/>
    <w:tmpl w:val="9FBE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1C2007"/>
    <w:multiLevelType w:val="multilevel"/>
    <w:tmpl w:val="CF20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493229"/>
    <w:multiLevelType w:val="multilevel"/>
    <w:tmpl w:val="281E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393542"/>
    <w:multiLevelType w:val="hybridMultilevel"/>
    <w:tmpl w:val="259895C6"/>
    <w:lvl w:ilvl="0" w:tplc="4D5055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9A26C7"/>
    <w:multiLevelType w:val="multilevel"/>
    <w:tmpl w:val="D73EF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9"/>
  </w:num>
  <w:num w:numId="3">
    <w:abstractNumId w:val="2"/>
  </w:num>
  <w:num w:numId="4">
    <w:abstractNumId w:val="13"/>
  </w:num>
  <w:num w:numId="5">
    <w:abstractNumId w:val="5"/>
  </w:num>
  <w:num w:numId="6">
    <w:abstractNumId w:val="10"/>
  </w:num>
  <w:num w:numId="7">
    <w:abstractNumId w:val="6"/>
  </w:num>
  <w:num w:numId="8">
    <w:abstractNumId w:val="11"/>
  </w:num>
  <w:num w:numId="9">
    <w:abstractNumId w:val="3"/>
  </w:num>
  <w:num w:numId="10">
    <w:abstractNumId w:val="7"/>
  </w:num>
  <w:num w:numId="11">
    <w:abstractNumId w:val="4"/>
  </w:num>
  <w:num w:numId="12">
    <w:abstractNumId w:val="1"/>
  </w:num>
  <w:num w:numId="13">
    <w:abstractNumId w:val="8"/>
  </w:num>
  <w:num w:numId="14">
    <w:abstractNumId w:val="15"/>
  </w:num>
  <w:num w:numId="15">
    <w:abstractNumId w:val="14"/>
  </w:num>
  <w:num w:numId="16">
    <w:abstractNumId w:val="1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17A"/>
    <w:rsid w:val="00050AF9"/>
    <w:rsid w:val="00055049"/>
    <w:rsid w:val="00094B5C"/>
    <w:rsid w:val="000F13C0"/>
    <w:rsid w:val="00170302"/>
    <w:rsid w:val="001F4076"/>
    <w:rsid w:val="002000FA"/>
    <w:rsid w:val="00253A0B"/>
    <w:rsid w:val="00280892"/>
    <w:rsid w:val="00283196"/>
    <w:rsid w:val="00302DE6"/>
    <w:rsid w:val="003208B7"/>
    <w:rsid w:val="00340891"/>
    <w:rsid w:val="003553E9"/>
    <w:rsid w:val="00427505"/>
    <w:rsid w:val="0048176F"/>
    <w:rsid w:val="004A648E"/>
    <w:rsid w:val="004B42EF"/>
    <w:rsid w:val="00507C70"/>
    <w:rsid w:val="005A24C7"/>
    <w:rsid w:val="006363FD"/>
    <w:rsid w:val="00670F39"/>
    <w:rsid w:val="006A1293"/>
    <w:rsid w:val="006B5972"/>
    <w:rsid w:val="006F27B1"/>
    <w:rsid w:val="006F5415"/>
    <w:rsid w:val="00717BF5"/>
    <w:rsid w:val="007810ED"/>
    <w:rsid w:val="00797F86"/>
    <w:rsid w:val="00836DA8"/>
    <w:rsid w:val="008B1766"/>
    <w:rsid w:val="008C7726"/>
    <w:rsid w:val="00940A18"/>
    <w:rsid w:val="00956C57"/>
    <w:rsid w:val="00965173"/>
    <w:rsid w:val="009761EE"/>
    <w:rsid w:val="009A5B62"/>
    <w:rsid w:val="009B610F"/>
    <w:rsid w:val="00A2467E"/>
    <w:rsid w:val="00A34BDE"/>
    <w:rsid w:val="00AF4BD6"/>
    <w:rsid w:val="00AF5D66"/>
    <w:rsid w:val="00B6317A"/>
    <w:rsid w:val="00B94B38"/>
    <w:rsid w:val="00BD1C1D"/>
    <w:rsid w:val="00C062B1"/>
    <w:rsid w:val="00C20FBF"/>
    <w:rsid w:val="00CA7045"/>
    <w:rsid w:val="00D13925"/>
    <w:rsid w:val="00D23461"/>
    <w:rsid w:val="00D82D2E"/>
    <w:rsid w:val="00DA4816"/>
    <w:rsid w:val="00E14438"/>
    <w:rsid w:val="00E759F8"/>
    <w:rsid w:val="00EF49E6"/>
    <w:rsid w:val="00F368F4"/>
    <w:rsid w:val="00FF7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D0923"/>
  <w15:chartTrackingRefBased/>
  <w15:docId w15:val="{6233D1E1-B957-4BEC-9A6C-C0A1EEDB2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F39"/>
    <w:pPr>
      <w:spacing w:before="120" w:after="0" w:line="240" w:lineRule="auto"/>
      <w:jc w:val="both"/>
    </w:pPr>
    <w:rPr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956C5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00000" w:themeColor="text1"/>
      <w:sz w:val="44"/>
      <w:szCs w:val="44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56C5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A4816"/>
    <w:pPr>
      <w:keepNext/>
      <w:keepLines/>
      <w:numPr>
        <w:numId w:val="1"/>
      </w:numPr>
      <w:tabs>
        <w:tab w:val="clear" w:pos="720"/>
      </w:tabs>
      <w:spacing w:before="40"/>
      <w:ind w:left="284" w:hanging="284"/>
      <w:outlineLvl w:val="2"/>
    </w:pPr>
    <w:rPr>
      <w:rFonts w:asciiTheme="majorHAnsi" w:eastAsiaTheme="majorEastAsia" w:hAnsiTheme="majorHAnsi" w:cstheme="majorBidi"/>
      <w:color w:val="000000" w:themeColor="text1"/>
      <w:sz w:val="36"/>
      <w:szCs w:val="36"/>
    </w:rPr>
  </w:style>
  <w:style w:type="paragraph" w:styleId="Ttulo4">
    <w:name w:val="heading 4"/>
    <w:basedOn w:val="Ttulo3"/>
    <w:next w:val="Normal"/>
    <w:link w:val="Ttulo4Char"/>
    <w:uiPriority w:val="9"/>
    <w:unhideWhenUsed/>
    <w:qFormat/>
    <w:rsid w:val="00DA4816"/>
    <w:pPr>
      <w:numPr>
        <w:ilvl w:val="1"/>
      </w:numPr>
      <w:tabs>
        <w:tab w:val="clear" w:pos="1440"/>
      </w:tabs>
      <w:ind w:left="567" w:hanging="283"/>
      <w:outlineLvl w:val="3"/>
    </w:pPr>
    <w:rPr>
      <w:i/>
      <w:iCs/>
      <w:sz w:val="32"/>
      <w:szCs w:val="32"/>
    </w:rPr>
  </w:style>
  <w:style w:type="paragraph" w:styleId="Ttulo5">
    <w:name w:val="heading 5"/>
    <w:basedOn w:val="Ttulo4"/>
    <w:next w:val="Normal"/>
    <w:link w:val="Ttulo5Char"/>
    <w:uiPriority w:val="9"/>
    <w:unhideWhenUsed/>
    <w:qFormat/>
    <w:rsid w:val="00DA4816"/>
    <w:pPr>
      <w:numPr>
        <w:ilvl w:val="2"/>
      </w:numPr>
      <w:tabs>
        <w:tab w:val="clear" w:pos="2160"/>
      </w:tabs>
      <w:spacing w:before="120"/>
      <w:ind w:left="851" w:hanging="284"/>
      <w:outlineLvl w:val="4"/>
    </w:pPr>
    <w:rPr>
      <w:b/>
      <w:bCs/>
      <w:i w:val="0"/>
      <w:iCs w:val="0"/>
      <w:sz w:val="28"/>
      <w:szCs w:val="28"/>
    </w:rPr>
  </w:style>
  <w:style w:type="paragraph" w:styleId="Ttulo6">
    <w:name w:val="heading 6"/>
    <w:basedOn w:val="Ttulo5"/>
    <w:next w:val="Normal"/>
    <w:link w:val="Ttulo6Char"/>
    <w:uiPriority w:val="9"/>
    <w:unhideWhenUsed/>
    <w:qFormat/>
    <w:rsid w:val="00DA4816"/>
    <w:pPr>
      <w:numPr>
        <w:ilvl w:val="3"/>
      </w:numPr>
      <w:tabs>
        <w:tab w:val="clear" w:pos="2880"/>
      </w:tabs>
      <w:ind w:left="1134" w:hanging="283"/>
      <w:outlineLvl w:val="5"/>
    </w:pPr>
    <w:rPr>
      <w:sz w:val="24"/>
      <w:szCs w:val="24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6F27B1"/>
    <w:pPr>
      <w:ind w:left="1418"/>
      <w:outlineLvl w:val="6"/>
    </w:pPr>
    <w:rPr>
      <w:rFonts w:cstheme="minorHAnsi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inking">
    <w:name w:val="Tinking"/>
    <w:basedOn w:val="Normal"/>
    <w:link w:val="TinkingChar"/>
    <w:qFormat/>
    <w:rsid w:val="00797F86"/>
    <w:pPr>
      <w:shd w:val="clear" w:color="auto" w:fill="FFFFFF"/>
    </w:pPr>
    <w:rPr>
      <w:rFonts w:ascii="Calibri" w:eastAsia="Times New Roman" w:hAnsi="Calibri" w:cs="Segoe UI"/>
      <w:color w:val="000000" w:themeColor="text1"/>
      <w:sz w:val="16"/>
      <w:szCs w:val="21"/>
      <w:lang w:eastAsia="pt-BR"/>
    </w:rPr>
  </w:style>
  <w:style w:type="character" w:customStyle="1" w:styleId="TinkingChar">
    <w:name w:val="Tinking Char"/>
    <w:basedOn w:val="Fontepargpadro"/>
    <w:link w:val="Tinking"/>
    <w:rsid w:val="00797F86"/>
    <w:rPr>
      <w:rFonts w:ascii="Calibri" w:eastAsia="Times New Roman" w:hAnsi="Calibri" w:cs="Segoe UI"/>
      <w:color w:val="000000" w:themeColor="text1"/>
      <w:sz w:val="16"/>
      <w:szCs w:val="21"/>
      <w:shd w:val="clear" w:color="auto" w:fill="FFFFFF"/>
      <w:lang w:eastAsia="pt-BR"/>
    </w:rPr>
  </w:style>
  <w:style w:type="paragraph" w:styleId="ndicedeilustraes">
    <w:name w:val="table of figures"/>
    <w:basedOn w:val="Normal"/>
    <w:next w:val="Normal"/>
    <w:autoRedefine/>
    <w:uiPriority w:val="99"/>
    <w:unhideWhenUsed/>
    <w:qFormat/>
    <w:rsid w:val="00965173"/>
    <w:pPr>
      <w:tabs>
        <w:tab w:val="right" w:leader="dot" w:pos="9071"/>
      </w:tabs>
      <w:ind w:firstLine="567"/>
    </w:pPr>
    <w:rPr>
      <w:rFonts w:ascii="Andis" w:hAnsi="Andis" w:cs="Times New Roman (Corpo CS)"/>
    </w:rPr>
  </w:style>
  <w:style w:type="character" w:customStyle="1" w:styleId="Ttulo1Char">
    <w:name w:val="Título 1 Char"/>
    <w:basedOn w:val="Fontepargpadro"/>
    <w:link w:val="Ttulo1"/>
    <w:uiPriority w:val="9"/>
    <w:rsid w:val="00956C57"/>
    <w:rPr>
      <w:rFonts w:asciiTheme="majorHAnsi" w:eastAsiaTheme="majorEastAsia" w:hAnsiTheme="majorHAnsi" w:cstheme="majorBidi"/>
      <w:color w:val="000000" w:themeColor="text1"/>
      <w:sz w:val="44"/>
      <w:szCs w:val="44"/>
    </w:rPr>
  </w:style>
  <w:style w:type="character" w:customStyle="1" w:styleId="Ttulo2Char">
    <w:name w:val="Título 2 Char"/>
    <w:basedOn w:val="Fontepargpadro"/>
    <w:link w:val="Ttulo2"/>
    <w:uiPriority w:val="9"/>
    <w:rsid w:val="00956C57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Ttulo3Char">
    <w:name w:val="Título 3 Char"/>
    <w:basedOn w:val="Fontepargpadro"/>
    <w:link w:val="Ttulo3"/>
    <w:uiPriority w:val="9"/>
    <w:rsid w:val="00DA4816"/>
    <w:rPr>
      <w:rFonts w:asciiTheme="majorHAnsi" w:eastAsiaTheme="majorEastAsia" w:hAnsiTheme="majorHAnsi" w:cstheme="majorBidi"/>
      <w:color w:val="000000" w:themeColor="text1"/>
      <w:sz w:val="36"/>
      <w:szCs w:val="36"/>
    </w:rPr>
  </w:style>
  <w:style w:type="character" w:customStyle="1" w:styleId="Ttulo4Char">
    <w:name w:val="Título 4 Char"/>
    <w:basedOn w:val="Fontepargpadro"/>
    <w:link w:val="Ttulo4"/>
    <w:uiPriority w:val="9"/>
    <w:rsid w:val="00DA4816"/>
    <w:rPr>
      <w:rFonts w:asciiTheme="majorHAnsi" w:eastAsiaTheme="majorEastAsia" w:hAnsiTheme="majorHAnsi" w:cstheme="majorBidi"/>
      <w:i/>
      <w:iCs/>
      <w:color w:val="000000" w:themeColor="text1"/>
      <w:sz w:val="32"/>
      <w:szCs w:val="32"/>
    </w:rPr>
  </w:style>
  <w:style w:type="character" w:customStyle="1" w:styleId="Ttulo5Char">
    <w:name w:val="Título 5 Char"/>
    <w:basedOn w:val="Fontepargpadro"/>
    <w:link w:val="Ttulo5"/>
    <w:uiPriority w:val="9"/>
    <w:rsid w:val="00DA4816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customStyle="1" w:styleId="Ttulo6Char">
    <w:name w:val="Título 6 Char"/>
    <w:basedOn w:val="Fontepargpadro"/>
    <w:link w:val="Ttulo6"/>
    <w:uiPriority w:val="9"/>
    <w:rsid w:val="00DA4816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paragraph" w:customStyle="1" w:styleId="ds-markdown-paragraph">
    <w:name w:val="ds-markdown-paragraph"/>
    <w:basedOn w:val="Normal"/>
    <w:rsid w:val="00FF77B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styleId="Forte">
    <w:name w:val="Strong"/>
    <w:basedOn w:val="Fontepargpadro"/>
    <w:uiPriority w:val="22"/>
    <w:qFormat/>
    <w:rsid w:val="00FF77B9"/>
    <w:rPr>
      <w:b/>
      <w:bCs/>
    </w:rPr>
  </w:style>
  <w:style w:type="table" w:styleId="TabelaSimples5">
    <w:name w:val="Plain Table 5"/>
    <w:basedOn w:val="Tabelanormal"/>
    <w:uiPriority w:val="45"/>
    <w:rsid w:val="00CA70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Ttulo7Char">
    <w:name w:val="Título 7 Char"/>
    <w:basedOn w:val="Fontepargpadro"/>
    <w:link w:val="Ttulo7"/>
    <w:uiPriority w:val="9"/>
    <w:rsid w:val="006F27B1"/>
    <w:rPr>
      <w:rFonts w:cstheme="minorHAnsi"/>
      <w:sz w:val="20"/>
      <w:szCs w:val="20"/>
      <w:lang w:eastAsia="pt-BR"/>
    </w:rPr>
  </w:style>
  <w:style w:type="character" w:styleId="nfase">
    <w:name w:val="Emphasis"/>
    <w:basedOn w:val="Fontepargpadro"/>
    <w:uiPriority w:val="20"/>
    <w:qFormat/>
    <w:rsid w:val="00BD1C1D"/>
    <w:rPr>
      <w:i/>
      <w:iCs/>
    </w:rPr>
  </w:style>
  <w:style w:type="paragraph" w:styleId="PargrafodaLista">
    <w:name w:val="List Paragraph"/>
    <w:basedOn w:val="Normal"/>
    <w:uiPriority w:val="34"/>
    <w:qFormat/>
    <w:rsid w:val="00670F39"/>
    <w:pPr>
      <w:ind w:left="720"/>
      <w:contextualSpacing/>
    </w:pPr>
  </w:style>
  <w:style w:type="paragraph" w:customStyle="1" w:styleId="Tabela1">
    <w:name w:val="Tabela1"/>
    <w:basedOn w:val="Normal"/>
    <w:link w:val="Tabela1Char"/>
    <w:qFormat/>
    <w:rsid w:val="00B94B38"/>
    <w:pPr>
      <w:spacing w:before="0"/>
    </w:pPr>
    <w:rPr>
      <w:rFonts w:ascii="Calibri" w:eastAsiaTheme="majorEastAsia" w:hAnsi="Calibri" w:cstheme="majorBidi"/>
      <w:iCs/>
      <w:sz w:val="16"/>
    </w:rPr>
  </w:style>
  <w:style w:type="character" w:customStyle="1" w:styleId="Tabela1Char">
    <w:name w:val="Tabela1 Char"/>
    <w:basedOn w:val="Fontepargpadro"/>
    <w:link w:val="Tabela1"/>
    <w:rsid w:val="00B94B38"/>
    <w:rPr>
      <w:rFonts w:ascii="Calibri" w:eastAsiaTheme="majorEastAsia" w:hAnsi="Calibri" w:cstheme="majorBidi"/>
      <w:iCs/>
      <w:sz w:val="16"/>
      <w:szCs w:val="24"/>
    </w:rPr>
  </w:style>
  <w:style w:type="character" w:styleId="Hyperlink">
    <w:name w:val="Hyperlink"/>
    <w:basedOn w:val="Fontepargpadro"/>
    <w:uiPriority w:val="99"/>
    <w:unhideWhenUsed/>
    <w:rsid w:val="0028319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831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8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5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3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9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4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0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2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4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6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71790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29736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3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0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1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3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8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vsms.saude.gov.br/bvs/saudelegis/anvisa/2022/rdc0672_03_10_2022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vsms.saude.gov.br/bvs/saudelegis/anvisa/2020/rdc0067_08_12_2020.html" TargetMode="External"/><Relationship Id="rId12" Type="http://schemas.openxmlformats.org/officeDocument/2006/relationships/hyperlink" Target="https://bvsms.saude.gov.br/bvs/saudelegis/anvisa/2021/rdc0158_13_05_2021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vsms.saude.gov.br/bvs/saudelegis/anvisa/2018/rdc0222_28_03_2018.pdf" TargetMode="External"/><Relationship Id="rId11" Type="http://schemas.openxmlformats.org/officeDocument/2006/relationships/hyperlink" Target="https://bvsms.saude.gov.br/bvs/saudelegis/anvisa/2018/rdc0214_14_02_2018.html" TargetMode="External"/><Relationship Id="rId5" Type="http://schemas.openxmlformats.org/officeDocument/2006/relationships/hyperlink" Target="https://bvsms.saude.gov.br/bvs/saudelegis/anvisa/2002/rdc0050_21_02_2002.html" TargetMode="External"/><Relationship Id="rId10" Type="http://schemas.openxmlformats.org/officeDocument/2006/relationships/hyperlink" Target="https://bvsms.saude.gov.br/bvs/saudelegis/anvisa/2012/rdc0015_15_03_2012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vsms.saude.gov.br/bvs/saudelegis/anvisa/2013/rdc0036_25_07_2013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2306</Words>
  <Characters>12455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Rocha</dc:creator>
  <cp:keywords/>
  <dc:description/>
  <cp:lastModifiedBy>André Rocha</cp:lastModifiedBy>
  <cp:revision>5</cp:revision>
  <dcterms:created xsi:type="dcterms:W3CDTF">2025-11-01T21:24:00Z</dcterms:created>
  <dcterms:modified xsi:type="dcterms:W3CDTF">2025-11-02T04:20:00Z</dcterms:modified>
</cp:coreProperties>
</file>