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jc w:val="center"/>
      </w:pPr>
      <w:r>
        <w:drawing>
          <wp:inline xmlns:a="http://schemas.openxmlformats.org/drawingml/2006/main" xmlns:pic="http://schemas.openxmlformats.org/drawingml/2006/picture">
            <wp:extent cx="2148840" cy="1670723"/>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148840" cy="1670723"/>
                    </a:xfrm>
                    <a:prstGeom prst="rect"/>
                  </pic:spPr>
                </pic:pic>
              </a:graphicData>
            </a:graphic>
          </wp:inline>
        </w:drawing>
      </w:r>
      <w:r>
        <w:t xml:space="preserve">  </w:t>
      </w:r>
      <w:r>
        <w:drawing>
          <wp:inline xmlns:a="http://schemas.openxmlformats.org/drawingml/2006/main" xmlns:pic="http://schemas.openxmlformats.org/drawingml/2006/picture">
            <wp:extent cx="2148840" cy="163097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148840" cy="1630970"/>
                    </a:xfrm>
                    <a:prstGeom prst="rect"/>
                  </pic:spPr>
                </pic:pic>
              </a:graphicData>
            </a:graphic>
          </wp:inline>
        </w:drawing>
      </w:r>
      <w:r>
        <w:t xml:space="preserve">  </w:t>
      </w:r>
    </w:p>
    <w:p>
      <w:pPr>
        <w:jc w:val="center"/>
      </w:pPr>
      <w:r>
        <w:rPr>
          <w:sz w:val="21"/>
        </w:rPr>
        <w:t>Figure 4. The display in operation: the compass page with an arriving message (left) and the status page listing both vehicles, their data ages, batteries, and separation (right).</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Three extensions follow naturally from the architecture. The first is a third node: the protocol already supports many, and the only configuration change is reverting both radios from CLIENT_MUTE to the standard client role so packets relay again, at the airtime cost quantified in Section 6.3. The second is a fixed repeater on high ground for terrain that defeats the direct link, enabled by the same role change, with the Section 5 link budget applying unchanged to each hop. The third is powering radio and display from the ignition circuit, which would retire the battery-death failure class of Section 9.2 entirely. Beyond these, the range characterization of Table 3 would turn the Section 5 model from a design argument into a validated measurement.</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on the session of Figure 4</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in-town versus open-road comparison, 0.5 mi against 3.75 mi on identical hardware, is the 20 dB environmental reserve made directly visible.</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