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system-diagram.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System architecture. Each vehicle pairs a stock Meshtastic radio with a custom-firmware reflective display; the vehicles share only the 915 MHz LoRa channel.</w:t>
      </w:r>
    </w:p>
    <w:p>
      <w:pPr>
        <w:spacing w:before="200" w:after="80"/>
      </w:pPr>
      <w:r>
        <w:rPr>
          <w:b/>
          <w:sz w:val="25"/>
        </w:rPr>
        <w:t>2.1 Design requirements</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pPr>
        <w:spacing w:before="320" w:after="80"/>
      </w:pPr>
      <w:r>
        <w:rPr>
          <w:b/>
          <w:sz w:val="30"/>
        </w:rPr>
        <w:t>3. The Radio Node: Heltec WiFi LoRa 32 V4</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spacing w:before="200" w:after="80"/>
      </w:pPr>
      <w:r>
        <w:rPr>
          <w:b/>
          <w:sz w:val="25"/>
        </w:rPr>
        <w:t>3.1 Inside the transceiver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597259"/>
            <wp:docPr id="2" name="Picture 2"/>
            <wp:cNvGraphicFramePr>
              <a:graphicFrameLocks noChangeAspect="1"/>
            </wp:cNvGraphicFramePr>
            <a:graphic>
              <a:graphicData uri="http://schemas.openxmlformats.org/drawingml/2006/picture">
                <pic:pic>
                  <pic:nvPicPr>
                    <pic:cNvPr id="0" name="fig_sx_block.png"/>
                    <pic:cNvPicPr/>
                  </pic:nvPicPr>
                  <pic:blipFill>
                    <a:blip r:embed="rId10"/>
                    <a:stretch>
                      <a:fillRect/>
                    </a:stretch>
                  </pic:blipFill>
                  <pic:spPr>
                    <a:xfrm>
                      <a:off x="0" y="0"/>
                      <a:ext cx="5760720" cy="2597259"/>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spacing w:before="200" w:after="80"/>
      </w:pPr>
      <w:r>
        <w:rPr>
          <w:b/>
          <w:sz w:val="25"/>
        </w:rPr>
        <w:t>3.2 The transceiver state machine</w:t>
      </w:r>
    </w:p>
    <w:p>
      <w:pPr>
        <w:jc w:val="center"/>
      </w:pPr>
      <w:r>
        <w:drawing>
          <wp:inline xmlns:a="http://schemas.openxmlformats.org/drawingml/2006/main" xmlns:pic="http://schemas.openxmlformats.org/drawingml/2006/picture">
            <wp:extent cx="4206240" cy="4166415"/>
            <wp:docPr id="3" name="Picture 3"/>
            <wp:cNvGraphicFramePr>
              <a:graphicFrameLocks noChangeAspect="1"/>
            </wp:cNvGraphicFramePr>
            <a:graphic>
              <a:graphicData uri="http://schemas.openxmlformats.org/drawingml/2006/picture">
                <pic:pic>
                  <pic:nvPicPr>
                    <pic:cNvPr id="0" name="fig_sx_modes.png"/>
                    <pic:cNvPicPr/>
                  </pic:nvPicPr>
                  <pic:blipFill>
                    <a:blip r:embed="rId11"/>
                    <a:stretch>
                      <a:fillRect/>
                    </a:stretch>
                  </pic:blipFill>
                  <pic:spPr>
                    <a:xfrm>
                      <a:off x="0" y="0"/>
                      <a:ext cx="4206240" cy="4166415"/>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w:t>
      </w:r>
    </w:p>
    <w:p>
      <w:pPr>
        <w:spacing w:before="200" w:after="80"/>
      </w:pPr>
      <w:r>
        <w:rPr>
          <w:b/>
          <w:sz w:val="25"/>
        </w:rPr>
        <w:t>4.1 How a chirp carries bits</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2332853" cy="384048"/>
            <wp:docPr id="4" name="Picture 4"/>
            <wp:cNvGraphicFramePr>
              <a:graphicFrameLocks noChangeAspect="1"/>
            </wp:cNvGraphicFramePr>
            <a:graphic>
              <a:graphicData uri="http://schemas.openxmlformats.org/drawingml/2006/picture">
                <pic:pic>
                  <pic:nvPicPr>
                    <pic:cNvPr id="0" name="eq_tsym.png"/>
                    <pic:cNvPicPr/>
                  </pic:nvPicPr>
                  <pic:blipFill>
                    <a:blip r:embed="rId12"/>
                    <a:stretch>
                      <a:fillRect/>
                    </a:stretch>
                  </pic:blipFill>
                  <pic:spPr>
                    <a:xfrm>
                      <a:off x="0" y="0"/>
                      <a:ext cx="2332853"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spacing w:before="200" w:after="80"/>
      </w:pPr>
      <w:r>
        <w:rPr>
          <w:b/>
          <w:sz w:val="25"/>
        </w:rPr>
        <w:t>4.2 The cost of one packet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4050871" cy="384048"/>
            <wp:docPr id="5" name="Picture 5"/>
            <wp:cNvGraphicFramePr>
              <a:graphicFrameLocks noChangeAspect="1"/>
            </wp:cNvGraphicFramePr>
            <a:graphic>
              <a:graphicData uri="http://schemas.openxmlformats.org/drawingml/2006/picture">
                <pic:pic>
                  <pic:nvPicPr>
                    <pic:cNvPr id="0" name="eq_npay.png"/>
                    <pic:cNvPicPr/>
                  </pic:nvPicPr>
                  <pic:blipFill>
                    <a:blip r:embed="rId13"/>
                    <a:stretch>
                      <a:fillRect/>
                    </a:stretch>
                  </pic:blipFill>
                  <pic:spPr>
                    <a:xfrm>
                      <a:off x="0" y="0"/>
                      <a:ext cx="4050871"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320688"/>
            <wp:docPr id="6" name="Picture 6"/>
            <wp:cNvGraphicFramePr>
              <a:graphicFrameLocks noChangeAspect="1"/>
            </wp:cNvGraphicFramePr>
            <a:graphic>
              <a:graphicData uri="http://schemas.openxmlformats.org/drawingml/2006/picture">
                <pic:pic>
                  <pic:nvPicPr>
                    <pic:cNvPr id="0" name="eq_tpkt.png"/>
                    <pic:cNvPicPr/>
                  </pic:nvPicPr>
                  <pic:blipFill>
                    <a:blip r:embed="rId14"/>
                    <a:stretch>
                      <a:fillRect/>
                    </a:stretch>
                  </pic:blipFill>
                  <pic:spPr>
                    <a:xfrm>
                      <a:off x="0" y="0"/>
                      <a:ext cx="5760720" cy="320688"/>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314043"/>
            <wp:docPr id="7" name="Picture 7"/>
            <wp:cNvGraphicFramePr>
              <a:graphicFrameLocks noChangeAspect="1"/>
            </wp:cNvGraphicFramePr>
            <a:graphic>
              <a:graphicData uri="http://schemas.openxmlformats.org/drawingml/2006/picture">
                <pic:pic>
                  <pic:nvPicPr>
                    <pic:cNvPr id="0" name="eq_prx.png"/>
                    <pic:cNvPicPr/>
                  </pic:nvPicPr>
                  <pic:blipFill>
                    <a:blip r:embed="rId15"/>
                    <a:stretch>
                      <a:fillRect/>
                    </a:stretch>
                  </pic:blipFill>
                  <pic:spPr>
                    <a:xfrm>
                      <a:off x="0" y="0"/>
                      <a:ext cx="5760720" cy="314043"/>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258633"/>
            <wp:docPr id="8" name="Picture 8"/>
            <wp:cNvGraphicFramePr>
              <a:graphicFrameLocks noChangeAspect="1"/>
            </wp:cNvGraphicFramePr>
            <a:graphic>
              <a:graphicData uri="http://schemas.openxmlformats.org/drawingml/2006/picture">
                <pic:pic>
                  <pic:nvPicPr>
                    <pic:cNvPr id="0" name="eq_fsplworked.png"/>
                    <pic:cNvPicPr/>
                  </pic:nvPicPr>
                  <pic:blipFill>
                    <a:blip r:embed="rId16"/>
                    <a:stretch>
                      <a:fillRect/>
                    </a:stretch>
                  </pic:blipFill>
                  <pic:spPr>
                    <a:xfrm>
                      <a:off x="0" y="0"/>
                      <a:ext cx="5760720" cy="25863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343217"/>
            <wp:docPr id="9" name="Picture 9"/>
            <wp:cNvGraphicFramePr>
              <a:graphicFrameLocks noChangeAspect="1"/>
            </wp:cNvGraphicFramePr>
            <a:graphic>
              <a:graphicData uri="http://schemas.openxmlformats.org/drawingml/2006/picture">
                <pic:pic>
                  <pic:nvPicPr>
                    <pic:cNvPr id="0" name="eq_margin.png"/>
                    <pic:cNvPicPr/>
                  </pic:nvPicPr>
                  <pic:blipFill>
                    <a:blip r:embed="rId17"/>
                    <a:stretch>
                      <a:fillRect/>
                    </a:stretch>
                  </pic:blipFill>
                  <pic:spPr>
                    <a:xfrm>
                      <a:off x="0" y="0"/>
                      <a:ext cx="5760720" cy="343217"/>
                    </a:xfrm>
                    <a:prstGeom prst="rect"/>
                  </pic:spPr>
                </pic:pic>
              </a:graphicData>
            </a:graphic>
          </wp:inline>
        </w:drawing>
      </w:r>
    </w:p>
    <w:p>
      <w:pPr>
        <w:spacing w:before="320" w:after="80"/>
      </w:pPr>
      <w:r>
        <w:rPr>
          <w:b/>
          <w:sz w:val="30"/>
        </w:rPr>
        <w:t>6. The Protocol Layer: Meshtastic and the Channel Contract</w:t>
      </w:r>
    </w:p>
    <w:p>
      <w:pPr>
        <w:spacing w:before="200" w:after="80"/>
      </w:pPr>
      <w:r>
        <w:rPr>
          <w:b/>
          <w:sz w:val="25"/>
        </w:rPr>
        <w:t>6.1 The name is the frequency</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696712" cy="384048"/>
            <wp:docPr id="10" name="Picture 10"/>
            <wp:cNvGraphicFramePr>
              <a:graphicFrameLocks noChangeAspect="1"/>
            </wp:cNvGraphicFramePr>
            <a:graphic>
              <a:graphicData uri="http://schemas.openxmlformats.org/drawingml/2006/picture">
                <pic:pic>
                  <pic:nvPicPr>
                    <pic:cNvPr id="0" name="eq_slot.png"/>
                    <pic:cNvPicPr/>
                  </pic:nvPicPr>
                  <pic:blipFill>
                    <a:blip r:embed="rId18"/>
                    <a:stretch>
                      <a:fillRect/>
                    </a:stretch>
                  </pic:blipFill>
                  <pic:spPr>
                    <a:xfrm>
                      <a:off x="0" y="0"/>
                      <a:ext cx="5696712" cy="384048"/>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508723" cy="384048"/>
            <wp:docPr id="11" name="Picture 11"/>
            <wp:cNvGraphicFramePr>
              <a:graphicFrameLocks noChangeAspect="1"/>
            </wp:cNvGraphicFramePr>
            <a:graphic>
              <a:graphicData uri="http://schemas.openxmlformats.org/drawingml/2006/picture">
                <pic:pic>
                  <pic:nvPicPr>
                    <pic:cNvPr id="0" name="eq_slot43.png"/>
                    <pic:cNvPicPr/>
                  </pic:nvPicPr>
                  <pic:blipFill>
                    <a:blip r:embed="rId19"/>
                    <a:stretch>
                      <a:fillRect/>
                    </a:stretch>
                  </pic:blipFill>
                  <pic:spPr>
                    <a:xfrm>
                      <a:off x="0" y="0"/>
                      <a:ext cx="4508723"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spacing w:before="200" w:after="80"/>
      </w:pPr>
      <w:r>
        <w:rPr>
          <w:b/>
          <w:sz w:val="25"/>
        </w:rPr>
        <w:t>6.2 Privacy on a public frequency</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spacing w:before="200" w:after="80"/>
      </w:pPr>
      <w:r>
        <w:rPr>
          <w:b/>
          <w:sz w:val="25"/>
        </w:rPr>
        <w:t>6.3 Airtime as a shared budget</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5363653" cy="384048"/>
            <wp:docPr id="12" name="Picture 12"/>
            <wp:cNvGraphicFramePr>
              <a:graphicFrameLocks noChangeAspect="1"/>
            </wp:cNvGraphicFramePr>
            <a:graphic>
              <a:graphicData uri="http://schemas.openxmlformats.org/drawingml/2006/picture">
                <pic:pic>
                  <pic:nvPicPr>
                    <pic:cNvPr id="0" name="eq_airtime.png"/>
                    <pic:cNvPicPr/>
                  </pic:nvPicPr>
                  <pic:blipFill>
                    <a:blip r:embed="rId20"/>
                    <a:stretch>
                      <a:fillRect/>
                    </a:stretch>
                  </pic:blipFill>
                  <pic:spPr>
                    <a:xfrm>
                      <a:off x="0" y="0"/>
                      <a:ext cx="5363653"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spacing w:before="200" w:after="80"/>
      </w:pPr>
      <w:r>
        <w:rPr>
          <w:b/>
          <w:sz w:val="25"/>
        </w:rPr>
        <w:t>6.4 Liveness is arithmetic</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3529401" cy="384048"/>
            <wp:docPr id="13" name="Picture 13"/>
            <wp:cNvGraphicFramePr>
              <a:graphicFrameLocks noChangeAspect="1"/>
            </wp:cNvGraphicFramePr>
            <a:graphic>
              <a:graphicData uri="http://schemas.openxmlformats.org/drawingml/2006/picture">
                <pic:pic>
                  <pic:nvPicPr>
                    <pic:cNvPr id="0" name="eq_online.png"/>
                    <pic:cNvPicPr/>
                  </pic:nvPicPr>
                  <pic:blipFill>
                    <a:blip r:embed="rId21"/>
                    <a:stretch>
                      <a:fillRect/>
                    </a:stretch>
                  </pic:blipFill>
                  <pic:spPr>
                    <a:xfrm>
                      <a:off x="0" y="0"/>
                      <a:ext cx="3529401"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spacing w:before="200" w:after="80"/>
      </w:pPr>
      <w:r>
        <w:rPr>
          <w:b/>
          <w:sz w:val="25"/>
        </w:rPr>
        <w:t>6.5 The configuration as a written contract</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w:t>
      </w:r>
    </w:p>
    <w:p>
      <w:pPr>
        <w:spacing w:before="200" w:after="80"/>
      </w:pPr>
      <w:r>
        <w:rPr>
          <w:b/>
          <w:sz w:val="25"/>
        </w:rPr>
        <w:t>7.1 Hardware</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spacing w:before="200" w:after="80"/>
      </w:pPr>
      <w:r>
        <w:rPr>
          <w:b/>
          <w:sz w:val="25"/>
        </w:rPr>
        <w:t>7.2 What made it possible: the Client API over BLE</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spacing w:before="200" w:after="80"/>
      </w:pPr>
      <w:r>
        <w:rPr>
          <w:b/>
          <w:sz w:val="25"/>
        </w:rPr>
        <w:t>7.3 Inside the display firmware</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jc w:val="center"/>
      </w:pPr>
      <w:r>
        <w:drawing>
          <wp:inline xmlns:a="http://schemas.openxmlformats.org/drawingml/2006/main" xmlns:pic="http://schemas.openxmlformats.org/drawingml/2006/picture">
            <wp:extent cx="2148840" cy="1670723"/>
            <wp:docPr id="14" name="Picture 14"/>
            <wp:cNvGraphicFramePr>
              <a:graphicFrameLocks noChangeAspect="1"/>
            </wp:cNvGraphicFramePr>
            <a:graphic>
              <a:graphicData uri="http://schemas.openxmlformats.org/drawingml/2006/picture">
                <pic:pic>
                  <pic:nvPicPr>
                    <pic:cNvPr id="0" name="38.jpg"/>
                    <pic:cNvPicPr/>
                  </pic:nvPicPr>
                  <pic:blipFill>
                    <a:blip r:embed="rId22"/>
                    <a:stretch>
                      <a:fillRect/>
                    </a:stretch>
                  </pic:blipFill>
                  <pic:spPr>
                    <a:xfrm>
                      <a:off x="0" y="0"/>
                      <a:ext cx="2148840" cy="1670723"/>
                    </a:xfrm>
                    <a:prstGeom prst="rect"/>
                  </pic:spPr>
                </pic:pic>
              </a:graphicData>
            </a:graphic>
          </wp:inline>
        </w:drawing>
      </w:r>
      <w:r>
        <w:t xml:space="preserve">  </w:t>
      </w:r>
      <w:r>
        <w:drawing>
          <wp:inline xmlns:a="http://schemas.openxmlformats.org/drawingml/2006/main" xmlns:pic="http://schemas.openxmlformats.org/drawingml/2006/picture">
            <wp:extent cx="2148840" cy="1630970"/>
            <wp:docPr id="15" name="Picture 15"/>
            <wp:cNvGraphicFramePr>
              <a:graphicFrameLocks noChangeAspect="1"/>
            </wp:cNvGraphicFramePr>
            <a:graphic>
              <a:graphicData uri="http://schemas.openxmlformats.org/drawingml/2006/picture">
                <pic:pic>
                  <pic:nvPicPr>
                    <pic:cNvPr id="0" name="40.jpg"/>
                    <pic:cNvPicPr/>
                  </pic:nvPicPr>
                  <pic:blipFill>
                    <a:blip r:embed="rId23"/>
                    <a:stretch>
                      <a:fillRect/>
                    </a:stretch>
                  </pic:blipFill>
                  <pic:spPr>
                    <a:xfrm>
                      <a:off x="0" y="0"/>
                      <a:ext cx="2148840" cy="1630970"/>
                    </a:xfrm>
                    <a:prstGeom prst="rect"/>
                  </pic:spPr>
                </pic:pic>
              </a:graphicData>
            </a:graphic>
          </wp:inline>
        </w:drawing>
      </w:r>
      <w:r>
        <w:t xml:space="preserve">  </w:t>
      </w:r>
    </w:p>
    <w:p>
      <w:pPr>
        <w:jc w:val="center"/>
      </w:pPr>
      <w:r>
        <w:rPr>
          <w:sz w:val="21"/>
        </w:rPr>
        <w:t>Figure 4. The display in operation: the compass page with an arriving message (left) and the status page listing both vehicles, their data ages, batteries, and separation (right).</w:t>
      </w:r>
    </w:p>
    <w:p>
      <w:pPr>
        <w:spacing w:before="320" w:after="80"/>
      </w:pPr>
      <w:r>
        <w:rPr>
          <w:b/>
          <w:sz w:val="30"/>
        </w:rPr>
        <w:t>8. Navigation Mathematics</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992624" cy="384047"/>
            <wp:docPr id="16" name="Picture 16"/>
            <wp:cNvGraphicFramePr>
              <a:graphicFrameLocks noChangeAspect="1"/>
            </wp:cNvGraphicFramePr>
            <a:graphic>
              <a:graphicData uri="http://schemas.openxmlformats.org/drawingml/2006/picture">
                <pic:pic>
                  <pic:nvPicPr>
                    <pic:cNvPr id="0" name="eq_haversine.png"/>
                    <pic:cNvPicPr/>
                  </pic:nvPicPr>
                  <pic:blipFill>
                    <a:blip r:embed="rId24"/>
                    <a:stretch>
                      <a:fillRect/>
                    </a:stretch>
                  </pic:blipFill>
                  <pic:spPr>
                    <a:xfrm>
                      <a:off x="0" y="0"/>
                      <a:ext cx="4992624" cy="384047"/>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305737"/>
            <wp:docPr id="17" name="Picture 17"/>
            <wp:cNvGraphicFramePr>
              <a:graphicFrameLocks noChangeAspect="1"/>
            </wp:cNvGraphicFramePr>
            <a:graphic>
              <a:graphicData uri="http://schemas.openxmlformats.org/drawingml/2006/picture">
                <pic:pic>
                  <pic:nvPicPr>
                    <pic:cNvPr id="0" name="eq_bearing.png"/>
                    <pic:cNvPicPr/>
                  </pic:nvPicPr>
                  <pic:blipFill>
                    <a:blip r:embed="rId25"/>
                    <a:stretch>
                      <a:fillRect/>
                    </a:stretch>
                  </pic:blipFill>
                  <pic:spPr>
                    <a:xfrm>
                      <a:off x="0" y="0"/>
                      <a:ext cx="5760720" cy="30573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3789273" cy="384048"/>
            <wp:docPr id="18" name="Picture 18"/>
            <wp:cNvGraphicFramePr>
              <a:graphicFrameLocks noChangeAspect="1"/>
            </wp:cNvGraphicFramePr>
            <a:graphic>
              <a:graphicData uri="http://schemas.openxmlformats.org/drawingml/2006/picture">
                <pic:pic>
                  <pic:nvPicPr>
                    <pic:cNvPr id="0" name="eq_dr.png"/>
                    <pic:cNvPicPr/>
                  </pic:nvPicPr>
                  <pic:blipFill>
                    <a:blip r:embed="rId26"/>
                    <a:stretch>
                      <a:fillRect/>
                    </a:stretch>
                  </pic:blipFill>
                  <pic:spPr>
                    <a:xfrm>
                      <a:off x="0" y="0"/>
                      <a:ext cx="3789273"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277231" cy="384048"/>
            <wp:docPr id="19" name="Picture 19"/>
            <wp:cNvGraphicFramePr>
              <a:graphicFrameLocks noChangeAspect="1"/>
            </wp:cNvGraphicFramePr>
            <a:graphic>
              <a:graphicData uri="http://schemas.openxmlformats.org/drawingml/2006/picture">
                <pic:pic>
                  <pic:nvPicPr>
                    <pic:cNvPr id="0" name="eq_ema.png"/>
                    <pic:cNvPicPr/>
                  </pic:nvPicPr>
                  <pic:blipFill>
                    <a:blip r:embed="rId27"/>
                    <a:stretch>
                      <a:fillRect/>
                    </a:stretch>
                  </pic:blipFill>
                  <pic:spPr>
                    <a:xfrm>
                      <a:off x="0" y="0"/>
                      <a:ext cx="5277231"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spacing w:before="200" w:after="80"/>
      </w:pPr>
      <w:r>
        <w:rPr>
          <w:b/>
          <w:sz w:val="25"/>
        </w:rPr>
        <w:t>9.1 The silent frequency revert</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spacing w:before="200" w:after="80"/>
      </w:pPr>
      <w:r>
        <w:rPr>
          <w:b/>
          <w:sz w:val="25"/>
        </w:rPr>
        <w:t>9.2 Battery death erases configuration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spacing w:before="200" w:after="80"/>
      </w:pPr>
      <w:r>
        <w:rPr>
          <w:b/>
          <w:sz w:val="25"/>
        </w:rPr>
        <w:t>9.3 The half-alive radio</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spacing w:before="200" w:after="80"/>
      </w:pPr>
      <w:r>
        <w:rPr>
          <w:b/>
          <w:sz w:val="25"/>
        </w:rPr>
        <w:t>9.4 The stale public key</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spacing w:before="200" w:after="80"/>
      </w:pPr>
      <w:r>
        <w:rPr>
          <w:b/>
          <w:sz w:val="25"/>
        </w:rPr>
        <w:t>9.5 Counters that lie</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remaining planned verification is a two-vehicle drive test with acceptance metrics declared in advance, summarized in Table 3. Declaring the thresholds before the test, rather than after, is deliberate; it converts the drive from a demonstration into an experiment that can fail, which is the only kind that provides evidence.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Three extensions follow naturally from the architecture. The first is a third node: the protocol already supports many, and the only configuration change is reverting both radios from CLIENT_MUTE to the standard client role so packets relay again, at the airtime cost quantified in Section 6.3. The second is a fixed repeater on high ground for terrain that defeats the direct link, enabled by the same role change, with the Section 5 link budget applying unchanged to each hop. The third is powering radio and display from the ignition circuit, which would retire the battery-death failure class of Section 9.2 entirely. Beyond these, the range characterization of Table 3 would turn the Section 5 model from a design argument into a validated measurement.</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on the session of Figure 4</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bl>
    <w:p>
      <w:pPr>
        <w:spacing w:after="0"/>
      </w:pPr>
    </w:p>
    <w:p>
      <w:pPr>
        <w:jc w:val="center"/>
      </w:pPr>
      <w:r>
        <w:rPr>
          <w:sz w:val="21"/>
        </w:rPr>
        <w:t>Table 4. Bench measurement record. Desk-range SNR values are not range claims; they anchor the margin arithmetic of Section 5.</w:t>
      </w:r>
    </w:p>
    <w:p>
      <w:pPr>
        <w:jc w:val="both"/>
      </w:pPr>
      <w:r>
        <w:t>One figure deserves repetition because it ties the record together. The 6 dB desk-range SNR sits 23.5 dB above the -17.5 dB demodulation floor, and by the doubling rule of Section 5 that reserve corresponds to roughly four successive doublings of distance before the link fails, which is the quantitative basis for believing the 3 to 5 km design range before the formal range test of Table 3 has been driven.</w:t>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