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第三阶段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240" w:lineRule="auto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919032458,2336446047&amp;fm=175&amp;app=25&amp;f=JP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3A2047"/>
    <w:rsid w:val="004B1999"/>
    <w:rsid w:val="00827873"/>
    <w:rsid w:val="00D06B63"/>
    <w:rsid w:val="0A992FE9"/>
    <w:rsid w:val="2ACB417D"/>
    <w:rsid w:val="4A7663E8"/>
    <w:rsid w:val="690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C0E06A2FE91246A781EB224752FD5A3C</vt:lpwstr>
  </property>
</Properties>
</file>