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中国传媒大学本科毕业论文答辩评审表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80" w:type="dxa"/>
          <w:bottom w:w="0" w:type="dxa"/>
          <w:right w:w="180" w:type="dxa"/>
        </w:tblCellMar>
      </w:tblPr>
      <w:tblGrid>
        <w:gridCol w:w="1436"/>
        <w:gridCol w:w="1795"/>
        <w:gridCol w:w="1525"/>
        <w:gridCol w:w="2332"/>
        <w:gridCol w:w="897"/>
        <w:gridCol w:w="14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论文题目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70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论文撰写情况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、论文结构合理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条理清晰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文笔流畅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格式规范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、基本概念和基本原理清楚、正确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、实验数据真实、结论正确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、论文主要内容为本人独立完成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毕设完成情况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、完成了规定的毕设任务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、掌握了相关的理论知识和专业技能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、具备一定的分析问题和解决问题的能力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、学习态度好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能够在毕设中投入较多时间和精力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、能够简明扼要、重点突出地阐述论文的主要内容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、能够准确、流利地回答评审老师提出的问题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答辩成绩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94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  <w:bookmarkStart w:id="0" w:name="_GoBack"/>
            <w:bookmarkEnd w:id="0"/>
            <w:r>
              <w:drawing>
                <wp:inline distT="0" distB="0" distL="114300" distR="114300">
                  <wp:extent cx="511810" cy="32004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  <w:r>
              <w:drawing>
                <wp:inline distT="0" distB="0" distL="114300" distR="114300">
                  <wp:extent cx="73152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D601E73"/>
    <w:rsid w:val="24BB52AC"/>
    <w:rsid w:val="34B6179E"/>
    <w:rsid w:val="35AA7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宋体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289</Words>
  <Characters>356</Characters>
  <TotalTime>0</TotalTime>
  <ScaleCrop>false</ScaleCrop>
  <LinksUpToDate>false</LinksUpToDate>
  <CharactersWithSpaces>462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2023-01-09T13:55:00Z</dcterms:created>
  <dc:creator>MSI-NB</dc:creator>
  <cp:lastModifiedBy>追</cp:lastModifiedBy>
  <dcterms:modified xsi:type="dcterms:W3CDTF">2023-03-09T13:37:20Z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E6D403A5881A4115AAA20C98F2A7F56E</vt:lpwstr>
  </property>
</Properties>
</file>