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AD0FFA2" w:rsidR="00AB0958" w:rsidRDefault="00BA6522" w:rsidP="00EB7CCB">
      <w:pPr>
        <w:pStyle w:val="Heading2"/>
      </w:pPr>
      <w:proofErr w:type="spellStart"/>
      <w:r w:rsidRPr="005A124A">
        <w:t>Standards</w:t>
      </w:r>
      <w:bookmarkStart w:id="1" w:name="_Toc516653929"/>
      <w:bookmarkEnd w:id="0"/>
      <w:r w:rsidR="00335228">
        <w:t>API</w:t>
      </w:r>
      <w:proofErr w:type="spellEnd"/>
      <w:r w:rsidR="00335228">
        <w:t xml:space="preserve">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271E8E">
      <w:pPr>
        <w:pStyle w:val="Heading3"/>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3D3D1651" w:rsidR="00496C29" w:rsidRDefault="000E476A" w:rsidP="00C2021D">
      <w:pPr>
        <w:widowControl w:val="0"/>
        <w:numPr>
          <w:ilvl w:val="0"/>
          <w:numId w:val="20"/>
        </w:numPr>
        <w:shd w:val="clear" w:color="auto" w:fill="FFFFFF"/>
        <w:tabs>
          <w:tab w:val="clear" w:pos="720"/>
          <w:tab w:val="num" w:pos="1080"/>
        </w:tabs>
        <w:spacing w:after="0" w:line="336" w:lineRule="atLeast"/>
        <w:ind w:left="806"/>
        <w:textAlignment w:val="baseline"/>
        <w:rPr>
          <w:rFonts w:asciiTheme="majorHAnsi" w:hAnsiTheme="majorHAnsi" w:cstheme="majorHAnsi"/>
          <w:color w:val="000000"/>
          <w:sz w:val="18"/>
          <w:szCs w:val="16"/>
        </w:rPr>
        <w:pPrChange w:id="3" w:author="Paul Marshall" w:date="2018-08-16T23:25:00Z">
          <w:pPr>
            <w:numPr>
              <w:numId w:val="20"/>
            </w:numPr>
            <w:shd w:val="clear" w:color="auto" w:fill="FFFFFF"/>
            <w:tabs>
              <w:tab w:val="num" w:pos="720"/>
            </w:tabs>
            <w:spacing w:after="0" w:line="336" w:lineRule="atLeast"/>
            <w:ind w:left="446" w:hanging="360"/>
            <w:textAlignment w:val="baseline"/>
          </w:pPr>
        </w:pPrChange>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bookmarkStart w:id="4" w:name="_GoBack"/>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 xml:space="preserve">then developed and tested.  </w:t>
      </w:r>
      <w:r w:rsidR="00C622C3">
        <w:rPr>
          <w:rFonts w:asciiTheme="majorHAnsi" w:hAnsiTheme="majorHAnsi" w:cstheme="majorHAnsi"/>
          <w:color w:val="000000"/>
          <w:sz w:val="18"/>
          <w:szCs w:val="16"/>
        </w:rPr>
        <w:t>The API Contract is distributed to service consumers before the API is developed, so the</w:t>
      </w:r>
      <w:r w:rsidR="00812552">
        <w:rPr>
          <w:rFonts w:asciiTheme="majorHAnsi" w:hAnsiTheme="majorHAnsi" w:cstheme="majorHAnsi"/>
          <w:color w:val="000000"/>
          <w:sz w:val="18"/>
          <w:szCs w:val="16"/>
        </w:rPr>
        <w:t xml:space="preserve"> consumers</w:t>
      </w:r>
      <w:r w:rsidR="00C622C3">
        <w:rPr>
          <w:rFonts w:asciiTheme="majorHAnsi" w:hAnsiTheme="majorHAnsi" w:cstheme="majorHAnsi"/>
          <w:color w:val="000000"/>
          <w:sz w:val="18"/>
          <w:szCs w:val="16"/>
        </w:rPr>
        <w:t xml:space="preserve"> can begin developing their consumption design</w:t>
      </w:r>
      <w:r w:rsidR="00812552">
        <w:rPr>
          <w:rFonts w:asciiTheme="majorHAnsi" w:hAnsiTheme="majorHAnsi" w:cstheme="majorHAnsi"/>
          <w:color w:val="000000"/>
          <w:sz w:val="18"/>
          <w:szCs w:val="16"/>
        </w:rPr>
        <w:t xml:space="preserve"> and are not waiting for the full API to be ready</w:t>
      </w:r>
      <w:r w:rsidR="00C622C3">
        <w:rPr>
          <w:rFonts w:asciiTheme="majorHAnsi" w:hAnsiTheme="majorHAnsi" w:cstheme="majorHAnsi"/>
          <w:color w:val="000000"/>
          <w:sz w:val="18"/>
          <w:szCs w:val="16"/>
        </w:rPr>
        <w:t>.</w:t>
      </w:r>
      <w:r w:rsidR="00496C29">
        <w:rPr>
          <w:rFonts w:asciiTheme="majorHAnsi" w:hAnsiTheme="majorHAnsi" w:cstheme="majorHAnsi"/>
          <w:color w:val="000000"/>
          <w:sz w:val="18"/>
          <w:szCs w:val="16"/>
        </w:rPr>
        <w:t xml:space="preserve">  </w:t>
      </w:r>
    </w:p>
    <w:p w14:paraId="0F6BF142" w14:textId="77777777" w:rsidR="00496C29" w:rsidRDefault="00496C29" w:rsidP="00C2021D">
      <w:pPr>
        <w:widowControl w:val="0"/>
        <w:shd w:val="clear" w:color="auto" w:fill="FFFFFF"/>
        <w:spacing w:after="0" w:line="336" w:lineRule="atLeast"/>
        <w:ind w:left="806"/>
        <w:textAlignment w:val="baseline"/>
        <w:rPr>
          <w:rFonts w:asciiTheme="majorHAnsi" w:hAnsiTheme="majorHAnsi" w:cstheme="majorHAnsi"/>
          <w:color w:val="000000"/>
          <w:sz w:val="18"/>
          <w:szCs w:val="16"/>
        </w:rPr>
        <w:pPrChange w:id="5" w:author="Paul Marshall" w:date="2018-08-16T23:25:00Z">
          <w:pPr>
            <w:shd w:val="clear" w:color="auto" w:fill="FFFFFF"/>
            <w:spacing w:after="0" w:line="336" w:lineRule="atLeast"/>
            <w:ind w:left="446"/>
            <w:textAlignment w:val="baseline"/>
          </w:pPr>
        </w:pPrChange>
      </w:pPr>
      <w:r>
        <w:rPr>
          <w:rFonts w:asciiTheme="majorHAnsi" w:hAnsiTheme="majorHAnsi" w:cstheme="majorHAnsi"/>
          <w:color w:val="000000"/>
          <w:sz w:val="18"/>
          <w:szCs w:val="16"/>
        </w:rPr>
        <w:t>Benefits of this approach include:</w:t>
      </w:r>
    </w:p>
    <w:p w14:paraId="3D4FC95E" w14:textId="0B54F1D1" w:rsidR="00496C29" w:rsidRDefault="00496C29" w:rsidP="00C2021D">
      <w:pPr>
        <w:widowControl w:val="0"/>
        <w:shd w:val="clear" w:color="auto" w:fill="FFFFFF"/>
        <w:spacing w:after="0" w:line="336" w:lineRule="atLeast"/>
        <w:ind w:left="806"/>
        <w:textAlignment w:val="baseline"/>
        <w:rPr>
          <w:rFonts w:asciiTheme="majorHAnsi" w:hAnsiTheme="majorHAnsi" w:cstheme="majorHAnsi"/>
          <w:color w:val="000000"/>
          <w:sz w:val="18"/>
          <w:szCs w:val="16"/>
        </w:rPr>
        <w:pPrChange w:id="6" w:author="Paul Marshall" w:date="2018-08-16T23:25:00Z">
          <w:pPr>
            <w:shd w:val="clear" w:color="auto" w:fill="FFFFFF"/>
            <w:spacing w:after="0" w:line="336" w:lineRule="atLeast"/>
            <w:ind w:left="446"/>
            <w:textAlignment w:val="baseline"/>
          </w:pPr>
        </w:pPrChange>
      </w:pPr>
      <w:r>
        <w:rPr>
          <w:rFonts w:asciiTheme="majorHAnsi" w:hAnsiTheme="majorHAnsi" w:cstheme="majorHAnsi"/>
          <w:color w:val="000000"/>
          <w:sz w:val="18"/>
          <w:szCs w:val="16"/>
        </w:rPr>
        <w:t xml:space="preserve">(a) </w:t>
      </w:r>
      <w:r w:rsidRPr="001D639C">
        <w:rPr>
          <w:rFonts w:asciiTheme="majorHAnsi" w:hAnsiTheme="majorHAnsi" w:cstheme="majorHAnsi"/>
          <w:color w:val="000000"/>
          <w:sz w:val="18"/>
          <w:szCs w:val="16"/>
        </w:rPr>
        <w:t xml:space="preserve">Identifying bugs and issues with the API architecture and design becomes easier once a formal API contract is documented in </w:t>
      </w:r>
      <w:r w:rsidR="00A6397B">
        <w:rPr>
          <w:rFonts w:asciiTheme="majorHAnsi" w:hAnsiTheme="majorHAnsi" w:cstheme="majorHAnsi"/>
          <w:color w:val="000000"/>
          <w:sz w:val="18"/>
          <w:szCs w:val="16"/>
        </w:rPr>
        <w:t>the</w:t>
      </w:r>
      <w:r w:rsidRPr="001D639C">
        <w:rPr>
          <w:rFonts w:asciiTheme="majorHAnsi" w:hAnsiTheme="majorHAnsi" w:cstheme="majorHAnsi"/>
          <w:color w:val="000000"/>
          <w:sz w:val="18"/>
          <w:szCs w:val="16"/>
        </w:rPr>
        <w:t xml:space="preserve"> form of Swagger or RAML.  </w:t>
      </w:r>
    </w:p>
    <w:p w14:paraId="74274E5C" w14:textId="54CD9027" w:rsidR="000E476A" w:rsidRDefault="00496C29" w:rsidP="00C2021D">
      <w:pPr>
        <w:widowControl w:val="0"/>
        <w:shd w:val="clear" w:color="auto" w:fill="FFFFFF"/>
        <w:spacing w:after="0" w:line="336" w:lineRule="atLeast"/>
        <w:ind w:left="806"/>
        <w:textAlignment w:val="baseline"/>
        <w:rPr>
          <w:rFonts w:asciiTheme="majorHAnsi" w:hAnsiTheme="majorHAnsi" w:cstheme="majorHAnsi"/>
          <w:color w:val="000000"/>
          <w:sz w:val="18"/>
          <w:szCs w:val="16"/>
        </w:rPr>
        <w:pPrChange w:id="7" w:author="Paul Marshall" w:date="2018-08-16T23:25:00Z">
          <w:pPr>
            <w:shd w:val="clear" w:color="auto" w:fill="FFFFFF"/>
            <w:spacing w:after="0" w:line="336" w:lineRule="atLeast"/>
            <w:ind w:left="446"/>
            <w:textAlignment w:val="baseline"/>
          </w:pPr>
        </w:pPrChange>
      </w:pPr>
      <w:r>
        <w:rPr>
          <w:rFonts w:asciiTheme="majorHAnsi" w:hAnsiTheme="majorHAnsi" w:cstheme="majorHAnsi"/>
          <w:color w:val="000000"/>
          <w:sz w:val="18"/>
          <w:szCs w:val="16"/>
        </w:rPr>
        <w:t>(b) M</w:t>
      </w:r>
      <w:r w:rsidRPr="001D639C">
        <w:rPr>
          <w:rFonts w:asciiTheme="majorHAnsi" w:hAnsiTheme="majorHAnsi" w:cstheme="majorHAnsi"/>
          <w:color w:val="000000"/>
          <w:sz w:val="18"/>
          <w:szCs w:val="16"/>
        </w:rPr>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C2021D">
      <w:pPr>
        <w:widowControl w:val="0"/>
        <w:shd w:val="clear" w:color="auto" w:fill="FFFFFF"/>
        <w:spacing w:after="0" w:line="336" w:lineRule="atLeast"/>
        <w:ind w:left="806"/>
        <w:textAlignment w:val="baseline"/>
        <w:rPr>
          <w:rFonts w:asciiTheme="majorHAnsi" w:hAnsiTheme="majorHAnsi" w:cstheme="majorHAnsi"/>
          <w:color w:val="000000"/>
          <w:sz w:val="18"/>
          <w:szCs w:val="16"/>
        </w:rPr>
        <w:pPrChange w:id="8" w:author="Paul Marshall" w:date="2018-08-16T23:25:00Z">
          <w:pPr>
            <w:shd w:val="clear" w:color="auto" w:fill="FFFFFF"/>
            <w:spacing w:after="0" w:line="336" w:lineRule="atLeast"/>
            <w:ind w:left="446"/>
            <w:textAlignment w:val="baseline"/>
          </w:pPr>
        </w:pPrChange>
      </w:pPr>
      <w:r>
        <w:rPr>
          <w:rFonts w:asciiTheme="majorHAnsi" w:hAnsiTheme="majorHAnsi" w:cstheme="majorHAnsi"/>
          <w:color w:val="000000"/>
          <w:sz w:val="18"/>
          <w:szCs w:val="16"/>
        </w:rPr>
        <w:t>A primary driver for choosing a</w:t>
      </w:r>
      <w:r w:rsidRPr="009E1742">
        <w:rPr>
          <w:rFonts w:asciiTheme="majorHAnsi" w:hAnsiTheme="majorHAnsi" w:cstheme="majorHAnsi"/>
          <w:color w:val="000000"/>
          <w:sz w:val="18"/>
          <w:szCs w:val="16"/>
        </w:rPr>
        <w:t xml:space="preserve"> Design First approach is when the API </w:t>
      </w:r>
      <w:r>
        <w:rPr>
          <w:rFonts w:asciiTheme="majorHAnsi" w:hAnsiTheme="majorHAnsi" w:cstheme="majorHAnsi"/>
          <w:color w:val="000000"/>
          <w:sz w:val="18"/>
          <w:szCs w:val="16"/>
        </w:rPr>
        <w:t>consumers</w:t>
      </w:r>
      <w:r w:rsidRPr="00812552">
        <w:rPr>
          <w:rFonts w:asciiTheme="majorHAnsi" w:hAnsiTheme="majorHAnsi" w:cstheme="majorHAnsi"/>
          <w:color w:val="000000"/>
          <w:sz w:val="18"/>
          <w:szCs w:val="16"/>
        </w:rPr>
        <w:t xml:space="preserve"> are external</w:t>
      </w:r>
      <w:r>
        <w:rPr>
          <w:rFonts w:asciiTheme="majorHAnsi" w:hAnsiTheme="majorHAnsi" w:cstheme="majorHAnsi"/>
          <w:color w:val="000000"/>
          <w:sz w:val="18"/>
          <w:szCs w:val="16"/>
        </w:rPr>
        <w:t xml:space="preserve"> third-</w:t>
      </w:r>
      <w:r w:rsidRPr="009E1742">
        <w:rPr>
          <w:rFonts w:asciiTheme="majorHAnsi" w:hAnsiTheme="majorHAnsi" w:cstheme="majorHAnsi"/>
          <w:color w:val="000000"/>
          <w:sz w:val="18"/>
          <w:szCs w:val="16"/>
        </w:rPr>
        <w:t>party partner platforms</w:t>
      </w:r>
      <w:r>
        <w:rPr>
          <w:rFonts w:asciiTheme="majorHAnsi" w:hAnsiTheme="majorHAnsi" w:cstheme="majorHAnsi"/>
          <w:color w:val="000000"/>
          <w:sz w:val="18"/>
          <w:szCs w:val="16"/>
        </w:rPr>
        <w:t>, or web/mobile applications</w:t>
      </w:r>
      <w:r w:rsidRPr="009E1742">
        <w:rPr>
          <w:rFonts w:asciiTheme="majorHAnsi" w:hAnsiTheme="majorHAnsi" w:cstheme="majorHAnsi"/>
          <w:color w:val="000000"/>
          <w:sz w:val="18"/>
          <w:szCs w:val="16"/>
        </w:rPr>
        <w:t>.  In such case</w:t>
      </w:r>
      <w:r>
        <w:rPr>
          <w:rFonts w:asciiTheme="majorHAnsi" w:hAnsiTheme="majorHAnsi" w:cstheme="majorHAnsi"/>
          <w:color w:val="000000"/>
          <w:sz w:val="18"/>
          <w:szCs w:val="16"/>
        </w:rPr>
        <w:t>s</w:t>
      </w:r>
      <w:r w:rsidRPr="009E1742">
        <w:rPr>
          <w:rFonts w:asciiTheme="majorHAnsi" w:hAnsiTheme="majorHAnsi" w:cstheme="majorHAnsi"/>
          <w:color w:val="000000"/>
          <w:sz w:val="18"/>
          <w:szCs w:val="16"/>
        </w:rPr>
        <w:t>, the API is a key distribution channel that your API consumers can use to consume your services provided, and a solid design plays a key role in your service adoption.  The API contract is the cornerstone of the API design, and</w:t>
      </w:r>
      <w:r>
        <w:rPr>
          <w:rFonts w:asciiTheme="majorHAnsi" w:hAnsiTheme="majorHAnsi" w:cstheme="majorHAnsi"/>
          <w:color w:val="000000"/>
          <w:sz w:val="18"/>
          <w:szCs w:val="16"/>
        </w:rPr>
        <w:t xml:space="preserve"> can act as the standard or central alignment</w:t>
      </w:r>
      <w:r w:rsidRPr="00812552">
        <w:rPr>
          <w:rFonts w:asciiTheme="majorHAnsi" w:hAnsiTheme="majorHAnsi" w:cstheme="majorHAnsi"/>
          <w:color w:val="000000"/>
          <w:sz w:val="18"/>
          <w:szCs w:val="16"/>
        </w:rPr>
        <w:t xml:space="preserve"> that</w:t>
      </w:r>
      <w:r w:rsidRPr="009E1742">
        <w:rPr>
          <w:rFonts w:asciiTheme="majorHAnsi" w:hAnsiTheme="majorHAnsi" w:cstheme="majorHAnsi"/>
          <w:color w:val="000000"/>
          <w:sz w:val="18"/>
          <w:szCs w:val="16"/>
        </w:rPr>
        <w:t xml:space="preserve"> keeps all the developers </w:t>
      </w:r>
      <w:r>
        <w:rPr>
          <w:rFonts w:asciiTheme="majorHAnsi" w:hAnsiTheme="majorHAnsi" w:cstheme="majorHAnsi"/>
          <w:color w:val="000000"/>
          <w:sz w:val="18"/>
          <w:szCs w:val="16"/>
        </w:rPr>
        <w:t xml:space="preserve">in synch with </w:t>
      </w:r>
      <w:r w:rsidRPr="009E1742">
        <w:rPr>
          <w:rFonts w:asciiTheme="majorHAnsi" w:hAnsiTheme="majorHAnsi" w:cstheme="majorHAnsi"/>
          <w:color w:val="000000"/>
          <w:sz w:val="18"/>
          <w:szCs w:val="16"/>
        </w:rPr>
        <w:t>your API’s objectives</w:t>
      </w:r>
      <w:r>
        <w:rPr>
          <w:rFonts w:asciiTheme="majorHAnsi" w:hAnsiTheme="majorHAnsi" w:cstheme="majorHAnsi"/>
          <w:color w:val="000000"/>
          <w:sz w:val="18"/>
          <w:szCs w:val="16"/>
        </w:rPr>
        <w:t xml:space="preserve"> </w:t>
      </w:r>
      <w:r w:rsidRPr="009E1742">
        <w:rPr>
          <w:rFonts w:asciiTheme="majorHAnsi" w:hAnsiTheme="majorHAnsi" w:cstheme="majorHAnsi"/>
          <w:color w:val="000000"/>
          <w:sz w:val="18"/>
          <w:szCs w:val="16"/>
        </w:rPr>
        <w:t xml:space="preserve">and how the API resources are exposed.  </w:t>
      </w:r>
    </w:p>
    <w:bookmarkEnd w:id="4"/>
    <w:p w14:paraId="41D5815D" w14:textId="194D584A" w:rsidR="00812552" w:rsidRDefault="000E476A" w:rsidP="00812552">
      <w:pPr>
        <w:numPr>
          <w:ilvl w:val="0"/>
          <w:numId w:val="20"/>
        </w:numPr>
        <w:shd w:val="clear" w:color="auto" w:fill="FFFFFF"/>
        <w:spacing w:after="0" w:line="336" w:lineRule="atLeast"/>
        <w:ind w:left="45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w:t>
      </w:r>
      <w:r w:rsidR="00496C29">
        <w:rPr>
          <w:rFonts w:asciiTheme="majorHAnsi" w:hAnsiTheme="majorHAnsi" w:cstheme="majorHAnsi"/>
          <w:color w:val="000000"/>
          <w:sz w:val="18"/>
          <w:szCs w:val="16"/>
        </w:rPr>
        <w:t xml:space="preserve">the </w:t>
      </w:r>
      <w:r w:rsidRPr="000E476A">
        <w:rPr>
          <w:rFonts w:asciiTheme="majorHAnsi" w:hAnsiTheme="majorHAnsi" w:cstheme="majorHAnsi"/>
          <w:color w:val="000000"/>
          <w:sz w:val="18"/>
          <w:szCs w:val="16"/>
        </w:rPr>
        <w:t>API is directly coded</w:t>
      </w:r>
      <w:r w:rsidR="00812552">
        <w:rPr>
          <w:rFonts w:asciiTheme="majorHAnsi" w:hAnsiTheme="majorHAnsi" w:cstheme="majorHAnsi"/>
          <w:color w:val="000000"/>
          <w:sz w:val="18"/>
          <w:szCs w:val="16"/>
        </w:rPr>
        <w:t xml:space="preserve"> first</w:t>
      </w:r>
      <w:r w:rsidRPr="000E476A">
        <w:rPr>
          <w:rFonts w:asciiTheme="majorHAnsi" w:hAnsiTheme="majorHAnsi" w:cstheme="majorHAnsi"/>
          <w:color w:val="000000"/>
          <w:sz w:val="18"/>
          <w:szCs w:val="16"/>
        </w:rPr>
        <w:t xml:space="preserve">, </w:t>
      </w:r>
      <w:r w:rsidR="00FF2C8E">
        <w:rPr>
          <w:rFonts w:asciiTheme="majorHAnsi" w:hAnsiTheme="majorHAnsi" w:cstheme="majorHAnsi"/>
          <w:color w:val="000000"/>
          <w:sz w:val="18"/>
          <w:szCs w:val="16"/>
        </w:rPr>
        <w:t>from which the Swagger or RAML API contract is then generated</w:t>
      </w:r>
      <w:r w:rsidR="00812552">
        <w:rPr>
          <w:rFonts w:asciiTheme="majorHAnsi" w:hAnsiTheme="majorHAnsi" w:cstheme="majorHAnsi"/>
          <w:color w:val="000000"/>
          <w:sz w:val="18"/>
          <w:szCs w:val="16"/>
        </w:rPr>
        <w:t xml:space="preserve"> and distributed to consumers</w:t>
      </w:r>
      <w:r w:rsidR="00FF2C8E">
        <w:rPr>
          <w:rFonts w:asciiTheme="majorHAnsi" w:hAnsiTheme="majorHAnsi" w:cstheme="majorHAnsi"/>
          <w:color w:val="000000"/>
          <w:sz w:val="18"/>
          <w:szCs w:val="16"/>
        </w:rPr>
        <w:t xml:space="preserve">.  </w:t>
      </w:r>
    </w:p>
    <w:p w14:paraId="34C201F7" w14:textId="207979FA" w:rsidR="00812552" w:rsidRPr="009E1742" w:rsidRDefault="00812552" w:rsidP="00EB7CCB">
      <w:pPr>
        <w:shd w:val="clear" w:color="auto" w:fill="FFFFFF"/>
        <w:spacing w:after="0" w:line="336" w:lineRule="atLeast"/>
        <w:ind w:left="450"/>
        <w:textAlignment w:val="baseline"/>
        <w:rPr>
          <w:rFonts w:asciiTheme="majorHAnsi" w:hAnsiTheme="majorHAnsi" w:cstheme="majorHAnsi"/>
          <w:color w:val="000000"/>
          <w:sz w:val="18"/>
          <w:szCs w:val="16"/>
        </w:rPr>
      </w:pPr>
      <w:r w:rsidRPr="009E1742">
        <w:rPr>
          <w:rFonts w:asciiTheme="majorHAnsi" w:hAnsiTheme="majorHAnsi" w:cstheme="majorHAnsi"/>
          <w:color w:val="000000"/>
          <w:sz w:val="18"/>
          <w:szCs w:val="16"/>
        </w:rPr>
        <w:t xml:space="preserve">Code First approach becomes important when </w:t>
      </w:r>
      <w:r w:rsidR="006444EE">
        <w:rPr>
          <w:rFonts w:asciiTheme="majorHAnsi" w:hAnsiTheme="majorHAnsi" w:cstheme="majorHAnsi"/>
          <w:color w:val="000000"/>
          <w:sz w:val="18"/>
          <w:szCs w:val="16"/>
        </w:rPr>
        <w:t>the project</w:t>
      </w:r>
      <w:r w:rsidRPr="009E1742">
        <w:rPr>
          <w:rFonts w:asciiTheme="majorHAnsi" w:hAnsiTheme="majorHAnsi" w:cstheme="majorHAnsi"/>
          <w:color w:val="000000"/>
          <w:sz w:val="18"/>
          <w:szCs w:val="16"/>
        </w:rPr>
        <w:t xml:space="preserve"> has very strict and fast-paced timelines to deliver the software component or </w:t>
      </w:r>
      <w:r w:rsidR="00496C29">
        <w:rPr>
          <w:rFonts w:asciiTheme="majorHAnsi" w:hAnsiTheme="majorHAnsi" w:cstheme="majorHAnsi"/>
          <w:color w:val="000000"/>
          <w:sz w:val="18"/>
          <w:szCs w:val="16"/>
        </w:rPr>
        <w:t>service</w:t>
      </w:r>
      <w:r w:rsidR="00496C29" w:rsidRPr="00496C29">
        <w:rPr>
          <w:rFonts w:asciiTheme="majorHAnsi" w:hAnsiTheme="majorHAnsi" w:cstheme="majorHAnsi"/>
          <w:color w:val="000000"/>
          <w:sz w:val="18"/>
          <w:szCs w:val="16"/>
        </w:rPr>
        <w:t xml:space="preserve"> </w:t>
      </w:r>
      <w:r w:rsidR="00496C29">
        <w:rPr>
          <w:rFonts w:asciiTheme="majorHAnsi" w:hAnsiTheme="majorHAnsi" w:cstheme="majorHAnsi"/>
          <w:color w:val="000000"/>
          <w:sz w:val="18"/>
          <w:szCs w:val="16"/>
        </w:rPr>
        <w:t>and the project plan doesn’t allow for building API contracts and mocks first.</w:t>
      </w:r>
    </w:p>
    <w:p w14:paraId="70BF3A27" w14:textId="4DD01BB7"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choosing which API contract </w:t>
      </w:r>
      <w:r w:rsidR="00812552">
        <w:rPr>
          <w:rFonts w:asciiTheme="majorHAnsi" w:hAnsiTheme="majorHAnsi" w:cstheme="majorHAnsi"/>
          <w:color w:val="000000"/>
          <w:sz w:val="18"/>
          <w:szCs w:val="16"/>
        </w:rPr>
        <w:t xml:space="preserve">standard </w:t>
      </w:r>
      <w:r>
        <w:rPr>
          <w:rFonts w:asciiTheme="majorHAnsi" w:hAnsiTheme="majorHAnsi" w:cstheme="majorHAnsi"/>
          <w:color w:val="000000"/>
          <w:sz w:val="18"/>
          <w:szCs w:val="16"/>
        </w:rPr>
        <w:t xml:space="preserve">to </w:t>
      </w:r>
      <w:r w:rsidR="00812552">
        <w:rPr>
          <w:rFonts w:asciiTheme="majorHAnsi" w:hAnsiTheme="majorHAnsi" w:cstheme="majorHAnsi"/>
          <w:color w:val="000000"/>
          <w:sz w:val="18"/>
          <w:szCs w:val="16"/>
        </w:rPr>
        <w:t>leverage</w:t>
      </w:r>
      <w:r>
        <w:rPr>
          <w:rFonts w:asciiTheme="majorHAnsi" w:hAnsiTheme="majorHAnsi" w:cstheme="majorHAnsi"/>
          <w:color w:val="000000"/>
          <w:sz w:val="18"/>
          <w:szCs w:val="16"/>
        </w:rPr>
        <w:t xml:space="preserve"> </w:t>
      </w:r>
      <w:r w:rsidR="006444EE">
        <w:rPr>
          <w:rFonts w:asciiTheme="majorHAnsi" w:hAnsiTheme="majorHAnsi" w:cstheme="majorHAnsi"/>
          <w:color w:val="000000"/>
          <w:sz w:val="18"/>
          <w:szCs w:val="16"/>
        </w:rPr>
        <w:t>(</w:t>
      </w:r>
      <w:proofErr w:type="spellStart"/>
      <w:r>
        <w:rPr>
          <w:rFonts w:asciiTheme="majorHAnsi" w:hAnsiTheme="majorHAnsi" w:cstheme="majorHAnsi"/>
          <w:color w:val="000000"/>
          <w:sz w:val="18"/>
          <w:szCs w:val="16"/>
        </w:rPr>
        <w:t>RAML</w:t>
      </w:r>
      <w:r w:rsidR="00812552">
        <w:rPr>
          <w:rFonts w:asciiTheme="majorHAnsi" w:hAnsiTheme="majorHAnsi" w:cstheme="majorHAnsi"/>
          <w:color w:val="000000"/>
          <w:sz w:val="18"/>
          <w:szCs w:val="16"/>
        </w:rPr>
        <w:t>vs</w:t>
      </w:r>
      <w:proofErr w:type="spellEnd"/>
      <w:r w:rsidR="00812552">
        <w:rPr>
          <w:rFonts w:asciiTheme="majorHAnsi" w:hAnsiTheme="majorHAnsi" w:cstheme="majorHAnsi"/>
          <w:color w:val="000000"/>
          <w:sz w:val="18"/>
          <w:szCs w:val="16"/>
        </w:rPr>
        <w:t>.</w:t>
      </w:r>
      <w:r>
        <w:rPr>
          <w:rFonts w:asciiTheme="majorHAnsi" w:hAnsiTheme="majorHAnsi" w:cstheme="majorHAnsi"/>
          <w:color w:val="000000"/>
          <w:sz w:val="18"/>
          <w:szCs w:val="16"/>
        </w:rPr>
        <w:t xml:space="preserve"> Swagger</w:t>
      </w:r>
      <w:r w:rsidR="006444EE">
        <w:rPr>
          <w:rFonts w:asciiTheme="majorHAnsi" w:hAnsiTheme="majorHAnsi" w:cstheme="majorHAnsi"/>
          <w:color w:val="000000"/>
          <w:sz w:val="18"/>
          <w:szCs w:val="16"/>
        </w:rPr>
        <w:t>)</w:t>
      </w:r>
      <w:r>
        <w:rPr>
          <w:rFonts w:asciiTheme="majorHAnsi" w:hAnsiTheme="majorHAnsi" w:cstheme="majorHAnsi"/>
          <w:color w:val="000000"/>
          <w:sz w:val="18"/>
          <w:szCs w:val="16"/>
        </w:rPr>
        <w:t xml:space="preserve"> at first the development team </w:t>
      </w:r>
      <w:r w:rsidR="006444EE">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decide who would be the target </w:t>
      </w:r>
      <w:r w:rsidR="00812552">
        <w:rPr>
          <w:rFonts w:asciiTheme="majorHAnsi" w:hAnsiTheme="majorHAnsi" w:cstheme="majorHAnsi"/>
          <w:color w:val="000000"/>
          <w:sz w:val="18"/>
          <w:szCs w:val="16"/>
        </w:rPr>
        <w:t xml:space="preserve">consumers or </w:t>
      </w:r>
      <w:r>
        <w:rPr>
          <w:rFonts w:asciiTheme="majorHAnsi" w:hAnsiTheme="majorHAnsi" w:cstheme="majorHAnsi"/>
          <w:color w:val="000000"/>
          <w:sz w:val="18"/>
          <w:szCs w:val="16"/>
        </w:rPr>
        <w:t xml:space="preserve">users of that contract and </w:t>
      </w:r>
      <w:r w:rsidR="00812552">
        <w:rPr>
          <w:rFonts w:asciiTheme="majorHAnsi" w:hAnsiTheme="majorHAnsi" w:cstheme="majorHAnsi"/>
          <w:color w:val="000000"/>
          <w:sz w:val="18"/>
          <w:szCs w:val="16"/>
        </w:rPr>
        <w:t xml:space="preserve">which platform </w:t>
      </w:r>
      <w:r>
        <w:rPr>
          <w:rFonts w:asciiTheme="majorHAnsi" w:hAnsiTheme="majorHAnsi" w:cstheme="majorHAnsi"/>
          <w:color w:val="000000"/>
          <w:sz w:val="18"/>
          <w:szCs w:val="16"/>
        </w:rPr>
        <w:t>the API is to be deployed within</w:t>
      </w:r>
      <w:r w:rsidR="00812552">
        <w:rPr>
          <w:rFonts w:asciiTheme="majorHAnsi" w:hAnsiTheme="majorHAnsi" w:cstheme="majorHAnsi"/>
          <w:color w:val="000000"/>
          <w:sz w:val="18"/>
          <w:szCs w:val="16"/>
        </w:rPr>
        <w:t>. For example, will the API be deployed in</w:t>
      </w:r>
      <w:r w:rsidR="006444EE">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the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w:t>
      </w:r>
      <w:r w:rsidR="00812552">
        <w:rPr>
          <w:rFonts w:asciiTheme="majorHAnsi" w:hAnsiTheme="majorHAnsi" w:cstheme="majorHAnsi"/>
          <w:color w:val="000000"/>
          <w:sz w:val="18"/>
          <w:szCs w:val="16"/>
        </w:rPr>
        <w:t xml:space="preserve"> Apigee, or another platform?</w:t>
      </w:r>
      <w:r w:rsidR="006444EE">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In most cases, it is recommended to use Open API standards and design a Swagger contract.  A Swagger API contract can be expressed in a form of a JSON or a YAML file.  </w:t>
      </w:r>
      <w:r w:rsidR="00E51F6C">
        <w:rPr>
          <w:rFonts w:asciiTheme="majorHAnsi" w:hAnsiTheme="majorHAnsi" w:cstheme="majorHAnsi"/>
          <w:color w:val="000000"/>
          <w:sz w:val="18"/>
          <w:szCs w:val="16"/>
        </w:rPr>
        <w:t xml:space="preserve">As </w:t>
      </w:r>
      <w:r w:rsidR="007704FC">
        <w:rPr>
          <w:rFonts w:asciiTheme="majorHAnsi" w:hAnsiTheme="majorHAnsi" w:cstheme="majorHAnsi"/>
          <w:color w:val="000000"/>
          <w:sz w:val="18"/>
          <w:szCs w:val="16"/>
        </w:rPr>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9E6991">
      <w:pPr>
        <w:pStyle w:val="Heading3"/>
      </w:pPr>
      <w:bookmarkStart w:id="9" w:name="_Toc516653931"/>
      <w:r w:rsidRPr="009E6991">
        <w:t>Follow Test Driven Development</w:t>
      </w:r>
      <w:bookmarkEnd w:id="9"/>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B917ED">
      <w:pPr>
        <w:pStyle w:val="Heading3"/>
      </w:pPr>
      <w:bookmarkStart w:id="10" w:name="_Toc516653932"/>
      <w:r w:rsidRPr="00B917ED">
        <w:t>Create API Contracts and Mocks Early</w:t>
      </w:r>
      <w:bookmarkEnd w:id="10"/>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C2D">
      <w:pPr>
        <w:pStyle w:val="Heading3"/>
      </w:pPr>
      <w:bookmarkStart w:id="11" w:name="_Toc516653933"/>
      <w:r w:rsidRPr="00F67C2D">
        <w:t>Iterate Frequently and Often</w:t>
      </w:r>
      <w:bookmarkEnd w:id="11"/>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6F7E3D">
      <w:pPr>
        <w:pStyle w:val="Heading3"/>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27143D">
      <w:pPr>
        <w:pStyle w:val="Heading3"/>
      </w:pPr>
      <w:bookmarkStart w:id="12" w:name="_Toc516653934"/>
      <w:r w:rsidRPr="0027143D">
        <w:t>Engage Your API Consumers</w:t>
      </w:r>
      <w:bookmarkEnd w:id="12"/>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5910F1">
      <w:pPr>
        <w:pStyle w:val="Heading3"/>
        <w:rPr>
          <w:rFonts w:cstheme="majorHAnsi"/>
          <w:color w:val="000000"/>
          <w:sz w:val="18"/>
          <w:szCs w:val="16"/>
        </w:rPr>
      </w:pPr>
      <w:bookmarkStart w:id="13" w:name="_Toc516653935"/>
      <w:r>
        <w:t>Development Lifecycle Stages</w:t>
      </w:r>
      <w:bookmarkEnd w:id="13"/>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INCLUDEPICTURE  "https://image.slidesharecdn.com/designfirstapiswithramlandsoapuislides-140328120119-phpapp01/95/design-first-apis-with-raml-and-soapui-9-638.jpg?cb=1396009470" \* MERGEFORMATINET </w:instrText>
      </w:r>
      <w:r w:rsidR="00AF4BF2">
        <w:fldChar w:fldCharType="separate"/>
      </w:r>
      <w:r w:rsidR="00AE091E">
        <w:fldChar w:fldCharType="begin"/>
      </w:r>
      <w:r w:rsidR="00AE091E">
        <w:instrText xml:space="preserve"> INCLUDEPICTURE  "https://image.slidesharecdn.com/designfirstapiswithramlandsoapuislides-140328120119-phpapp01/95/design-first-apis-with-raml-and-soapui-9-638.jpg?cb=1396009470" \* MERGEFORMATINET </w:instrText>
      </w:r>
      <w:r w:rsidR="00AE091E">
        <w:fldChar w:fldCharType="separate"/>
      </w:r>
      <w:r w:rsidR="00577B9F">
        <w:fldChar w:fldCharType="begin"/>
      </w:r>
      <w:r w:rsidR="00577B9F">
        <w:instrText xml:space="preserve"> INCLUDEPICTURE  "https://image.slidesharecdn.com/designfirstapiswithramlandsoapuislides-140328120119-phpapp01/95/design-first-apis-with-raml-and-soapui-9-638.jpg?cb=1396009470" \* MERGEFORMATINET </w:instrText>
      </w:r>
      <w:r w:rsidR="00577B9F">
        <w:fldChar w:fldCharType="separate"/>
      </w:r>
      <w:r w:rsidR="006B4C6B">
        <w:fldChar w:fldCharType="begin"/>
      </w:r>
      <w:r w:rsidR="006B4C6B">
        <w:instrText xml:space="preserve"> </w:instrText>
      </w:r>
      <w:r w:rsidR="006B4C6B">
        <w:instrText>INCLUDEPICTURE  "https://image.slidesharecdn.com/designfirstapiswithramlandsoapuislides-140328120119-phpapp01/95/design-first-apis-with-raml-and-soapui-9-638.jpg?cb=1396009470" \* MERGEFORMATINET</w:instrText>
      </w:r>
      <w:r w:rsidR="006B4C6B">
        <w:instrText xml:space="preserve"> </w:instrText>
      </w:r>
      <w:r w:rsidR="006B4C6B">
        <w:fldChar w:fldCharType="separate"/>
      </w:r>
      <w:r w:rsidR="00C2021D">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2pt">
            <v:imagedata r:id="rId9" r:href="rId10"/>
          </v:shape>
        </w:pict>
      </w:r>
      <w:r w:rsidR="006B4C6B">
        <w:fldChar w:fldCharType="end"/>
      </w:r>
      <w:r w:rsidR="00577B9F">
        <w:fldChar w:fldCharType="end"/>
      </w:r>
      <w:r w:rsidR="00AE091E">
        <w:fldChar w:fldCharType="end"/>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w:t>
      </w:r>
      <w:r w:rsidRPr="00397746">
        <w:rPr>
          <w:rFonts w:asciiTheme="majorHAnsi" w:hAnsiTheme="majorHAnsi" w:cstheme="majorHAnsi"/>
          <w:color w:val="000000"/>
          <w:sz w:val="18"/>
          <w:szCs w:val="16"/>
        </w:rPr>
        <w:lastRenderedPageBreak/>
        <w:t xml:space="preserve">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F809A" w14:textId="77777777" w:rsidR="006B4C6B" w:rsidRDefault="006B4C6B" w:rsidP="00CB61B5">
      <w:pPr>
        <w:spacing w:after="0" w:line="240" w:lineRule="auto"/>
      </w:pPr>
      <w:r>
        <w:separator/>
      </w:r>
    </w:p>
  </w:endnote>
  <w:endnote w:type="continuationSeparator" w:id="0">
    <w:p w14:paraId="3F80DBA7" w14:textId="77777777" w:rsidR="006B4C6B" w:rsidRDefault="006B4C6B"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4A22F" w14:textId="77777777" w:rsidR="006B4C6B" w:rsidRDefault="006B4C6B" w:rsidP="00CB61B5">
      <w:pPr>
        <w:spacing w:after="0" w:line="240" w:lineRule="auto"/>
      </w:pPr>
      <w:r>
        <w:separator/>
      </w:r>
    </w:p>
  </w:footnote>
  <w:footnote w:type="continuationSeparator" w:id="0">
    <w:p w14:paraId="49D0EF00" w14:textId="77777777" w:rsidR="006B4C6B" w:rsidRDefault="006B4C6B"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8"/>
  </w:num>
  <w:num w:numId="5">
    <w:abstractNumId w:val="4"/>
  </w:num>
  <w:num w:numId="6">
    <w:abstractNumId w:val="14"/>
  </w:num>
  <w:num w:numId="7">
    <w:abstractNumId w:val="22"/>
  </w:num>
  <w:num w:numId="8">
    <w:abstractNumId w:val="24"/>
  </w:num>
  <w:num w:numId="9">
    <w:abstractNumId w:val="9"/>
  </w:num>
  <w:num w:numId="10">
    <w:abstractNumId w:val="17"/>
  </w:num>
  <w:num w:numId="11">
    <w:abstractNumId w:val="23"/>
  </w:num>
  <w:num w:numId="12">
    <w:abstractNumId w:val="6"/>
  </w:num>
  <w:num w:numId="13">
    <w:abstractNumId w:val="1"/>
  </w:num>
  <w:num w:numId="14">
    <w:abstractNumId w:val="19"/>
  </w:num>
  <w:num w:numId="15">
    <w:abstractNumId w:val="11"/>
  </w:num>
  <w:num w:numId="16">
    <w:abstractNumId w:val="5"/>
  </w:num>
  <w:num w:numId="17">
    <w:abstractNumId w:val="8"/>
  </w:num>
  <w:num w:numId="18">
    <w:abstractNumId w:val="3"/>
  </w:num>
  <w:num w:numId="19">
    <w:abstractNumId w:val="2"/>
  </w:num>
  <w:num w:numId="20">
    <w:abstractNumId w:val="20"/>
  </w:num>
  <w:num w:numId="21">
    <w:abstractNumId w:val="21"/>
  </w:num>
  <w:num w:numId="22">
    <w:abstractNumId w:val="0"/>
  </w:num>
  <w:num w:numId="23">
    <w:abstractNumId w:val="7"/>
  </w:num>
  <w:num w:numId="24">
    <w:abstractNumId w:val="15"/>
  </w:num>
  <w:num w:numId="25">
    <w:abstractNumId w:val="1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4C6B"/>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https://image.slidesharecdn.com/designfirstapiswithramlandsoapuislides-140328120119-phpapp01/95/design-first-apis-with-raml-and-soapui-9-638.jpg?cb=13960094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5C1FB-FB7E-4636-8F65-E5D2BC23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cp:revision>
  <dcterms:created xsi:type="dcterms:W3CDTF">2018-08-16T18:00:00Z</dcterms:created>
  <dcterms:modified xsi:type="dcterms:W3CDTF">2018-08-17T03:25:00Z</dcterms:modified>
</cp:coreProperties>
</file>