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0196AF45" w14:textId="1707151A" w:rsidR="00126DD1" w:rsidRDefault="00126DD1" w:rsidP="006D3B6E">
      <w:pPr>
        <w:pStyle w:val="BodyText"/>
        <w:numPr>
          <w:ilvl w:val="0"/>
          <w:numId w:val="34"/>
        </w:numPr>
        <w:spacing w:before="0" w:after="0"/>
      </w:pPr>
      <w:r>
        <w:t xml:space="preserve">Section </w:t>
      </w:r>
      <w:r w:rsidRPr="00126DD1">
        <w:t>1.5 Defined RESTful API Operations</w:t>
      </w:r>
      <w:r w:rsidR="006D3B6E">
        <w:t xml:space="preserve"> -&gt; </w:t>
      </w:r>
      <w:hyperlink r:id="rId14" w:history="1">
        <w:r w:rsidR="00133C28" w:rsidRPr="004B3229">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5AF2813C" w:rsidR="00BD1CDD" w:rsidRDefault="00BD1CDD" w:rsidP="00BD1CDD">
      <w:pPr>
        <w:pStyle w:val="ListParagraph"/>
        <w:numPr>
          <w:ilvl w:val="1"/>
          <w:numId w:val="34"/>
        </w:numPr>
        <w:ind w:left="1080"/>
      </w:pPr>
      <w:r w:rsidRPr="00FE7CB7">
        <w:t>Section 2.21.2 _filter Parameter</w:t>
      </w:r>
      <w:r>
        <w:tab/>
        <w:t xml:space="preserve">-&gt; </w:t>
      </w:r>
      <w:hyperlink r:id="rId19" w:history="1">
        <w:r w:rsidR="0037472A" w:rsidRPr="004B3229">
          <w:rPr>
            <w:rStyle w:val="Hyperlink"/>
          </w:rPr>
          <w:t>https://www.hl7.org/fhir/search_filter.html</w:t>
        </w:r>
      </w:hyperlink>
    </w:p>
    <w:p w14:paraId="2454C799" w14:textId="3FDE1E13" w:rsidR="004867DC" w:rsidRDefault="004867DC" w:rsidP="00BD1CDD">
      <w:pPr>
        <w:pStyle w:val="ListParagraph"/>
        <w:numPr>
          <w:ilvl w:val="1"/>
          <w:numId w:val="34"/>
        </w:numPr>
        <w:ind w:left="1080"/>
      </w:pPr>
      <w:r>
        <w:t>S</w:t>
      </w:r>
      <w:r w:rsidRPr="00FE7CB7">
        <w:t>ection 2.21.3 Defined Search Parameters</w:t>
      </w:r>
      <w:r>
        <w:t xml:space="preserve"> -&gt; </w:t>
      </w:r>
      <w:hyperlink r:id="rId20" w:history="1">
        <w:r w:rsidRPr="004B3229">
          <w:rPr>
            <w:rStyle w:val="Hyperlink"/>
          </w:rPr>
          <w:t>https://www.hl7.org/fhir/searchparameter-registry.html</w:t>
        </w:r>
      </w:hyperlink>
    </w:p>
    <w:p w14:paraId="5EFAF90B" w14:textId="7E093AF5" w:rsidR="008C373C" w:rsidRDefault="00911CEB" w:rsidP="00E81B2F">
      <w:pPr>
        <w:pStyle w:val="ListParagraph"/>
        <w:numPr>
          <w:ilvl w:val="1"/>
          <w:numId w:val="34"/>
        </w:numPr>
        <w:ind w:left="1080"/>
      </w:pPr>
      <w:r>
        <w:t>S</w:t>
      </w:r>
      <w:r w:rsidR="008C373C" w:rsidRPr="00FE7CB7">
        <w:t>ection 2.</w:t>
      </w:r>
      <w:r w:rsidR="00664A83">
        <w:t>22.0</w:t>
      </w:r>
      <w:r w:rsidR="008C373C" w:rsidRPr="002410D3">
        <w:t xml:space="preserve"> Extended Operations on the RESTful API</w:t>
      </w:r>
      <w:r w:rsidR="008C373C">
        <w:t xml:space="preserve"> </w:t>
      </w:r>
      <w:r w:rsidR="008C373C" w:rsidRPr="008C373C">
        <w:t xml:space="preserve">-&gt; </w:t>
      </w:r>
      <w:hyperlink r:id="rId21" w:history="1">
        <w:r w:rsidR="00E81B2F" w:rsidRPr="004B3229">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7" w:name="_Toc520358489"/>
      <w:r w:rsidRPr="00B47839">
        <w:t xml:space="preserve">FHIR </w:t>
      </w:r>
      <w:r w:rsidR="00DD3026" w:rsidRPr="00B47839">
        <w:t>RESTful API</w:t>
      </w:r>
      <w:bookmarkEnd w:id="7"/>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2"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3"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8" w:name="_Toc520358490"/>
      <w:r w:rsidRPr="0046058A">
        <w:t xml:space="preserve">FHIR </w:t>
      </w:r>
      <w:r w:rsidR="0046058A" w:rsidRPr="0046058A">
        <w:t xml:space="preserve">RESTful API </w:t>
      </w:r>
      <w:r w:rsidR="00676DB0" w:rsidRPr="0046058A">
        <w:t>Service Base URL</w:t>
      </w:r>
      <w:bookmarkEnd w:id="8"/>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4"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9" w:name="_Toc517969175"/>
      <w:bookmarkStart w:id="10" w:name="_Toc518056018"/>
      <w:bookmarkStart w:id="11" w:name="_Toc519761279"/>
      <w:bookmarkStart w:id="12"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9"/>
      <w:bookmarkEnd w:id="10"/>
      <w:bookmarkEnd w:id="11"/>
      <w:bookmarkEnd w:id="12"/>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3" w:name="_Toc520358497"/>
      <w:bookmarkStart w:id="14"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3"/>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4"/>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5"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5"/>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6" w:name="_Toc520358491"/>
      <w:r>
        <w:t xml:space="preserve">RESTful API </w:t>
      </w:r>
      <w:r w:rsidRPr="00676DB0">
        <w:t xml:space="preserve">URL </w:t>
      </w:r>
      <w:r>
        <w:t>C</w:t>
      </w:r>
      <w:r w:rsidRPr="00A45943">
        <w:t xml:space="preserve">ommon </w:t>
      </w:r>
      <w:r>
        <w:t>I</w:t>
      </w:r>
      <w:r w:rsidRPr="00A45943">
        <w:t>nteractions</w:t>
      </w:r>
      <w:bookmarkEnd w:id="16"/>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5"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6"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7"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7"/>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8"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8"/>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19" w:name="_Toc520358492"/>
      <w:r w:rsidRPr="00676DB0">
        <w:t xml:space="preserve">URL </w:t>
      </w:r>
      <w:r w:rsidRPr="005B333B">
        <w:t>FHIR Resource</w:t>
      </w:r>
      <w:r w:rsidR="00A45943">
        <w:t>s</w:t>
      </w:r>
      <w:bookmarkEnd w:id="19"/>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7"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0" w:name="_Toc520358493"/>
      <w:r w:rsidRPr="00DD5A91">
        <w:t>Argonaut</w:t>
      </w:r>
      <w:bookmarkEnd w:id="20"/>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8"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1" w:name="_Toc520358494"/>
      <w:r w:rsidRPr="00930640">
        <w:t>Argonaut Data Query Implementation Guide</w:t>
      </w:r>
      <w:bookmarkEnd w:id="21"/>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Implementation Gu</w:t>
      </w:r>
      <w:bookmarkStart w:id="22" w:name="_GoBack"/>
      <w:bookmarkEnd w:id="22"/>
      <w:r w:rsidRPr="00930640">
        <w:rPr>
          <w:sz w:val="24"/>
          <w:szCs w:val="20"/>
        </w:rPr>
        <w:t xml:space="preserve">ide </w:t>
      </w:r>
      <w:r w:rsidR="00052C3E">
        <w:rPr>
          <w:sz w:val="24"/>
          <w:szCs w:val="20"/>
        </w:rPr>
        <w:t xml:space="preserve">Version 1.00 </w:t>
      </w:r>
      <w:r>
        <w:rPr>
          <w:sz w:val="24"/>
          <w:szCs w:val="20"/>
        </w:rPr>
        <w:t>is:</w:t>
      </w:r>
    </w:p>
    <w:p w14:paraId="12C46D53" w14:textId="344B6D07" w:rsidR="00DC491E" w:rsidRDefault="00783232" w:rsidP="00DC491E">
      <w:pPr>
        <w:ind w:firstLine="720"/>
        <w:rPr>
          <w:sz w:val="24"/>
          <w:szCs w:val="20"/>
        </w:rPr>
      </w:pPr>
      <w:hyperlink r:id="rId29"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783232" w:rsidP="00C148BE">
      <w:pPr>
        <w:spacing w:before="120" w:after="120"/>
        <w:ind w:firstLine="720"/>
        <w:rPr>
          <w:sz w:val="24"/>
          <w:szCs w:val="20"/>
        </w:rPr>
      </w:pPr>
      <w:hyperlink r:id="rId30"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86BCA" w14:textId="77777777" w:rsidR="00783232" w:rsidRDefault="00783232">
      <w:r>
        <w:separator/>
      </w:r>
    </w:p>
    <w:p w14:paraId="44FC0FC1" w14:textId="77777777" w:rsidR="00783232" w:rsidRDefault="00783232"/>
  </w:endnote>
  <w:endnote w:type="continuationSeparator" w:id="0">
    <w:p w14:paraId="2043070C" w14:textId="77777777" w:rsidR="00783232" w:rsidRDefault="00783232">
      <w:r>
        <w:continuationSeparator/>
      </w:r>
    </w:p>
    <w:p w14:paraId="46720A29" w14:textId="77777777" w:rsidR="00783232" w:rsidRDefault="00783232"/>
  </w:endnote>
  <w:endnote w:type="continuationNotice" w:id="1">
    <w:p w14:paraId="3A8F53E2" w14:textId="77777777" w:rsidR="00783232" w:rsidRDefault="00783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0FD0" w14:textId="77777777" w:rsidR="00783232" w:rsidRDefault="00783232">
      <w:r>
        <w:separator/>
      </w:r>
    </w:p>
    <w:p w14:paraId="7AF79C84" w14:textId="77777777" w:rsidR="00783232" w:rsidRDefault="00783232"/>
  </w:footnote>
  <w:footnote w:type="continuationSeparator" w:id="0">
    <w:p w14:paraId="0E72800C" w14:textId="77777777" w:rsidR="00783232" w:rsidRDefault="00783232">
      <w:r>
        <w:continuationSeparator/>
      </w:r>
    </w:p>
    <w:p w14:paraId="59A70F58" w14:textId="77777777" w:rsidR="00783232" w:rsidRDefault="00783232"/>
  </w:footnote>
  <w:footnote w:type="continuationNotice" w:id="1">
    <w:p w14:paraId="3E6E0944" w14:textId="77777777" w:rsidR="00783232" w:rsidRDefault="007832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D08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3C28"/>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2CCD"/>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7DC"/>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33F3"/>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B6E"/>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232"/>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278"/>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913"/>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1B2F"/>
    <w:rsid w:val="00E82660"/>
    <w:rsid w:val="00E82B0D"/>
    <w:rsid w:val="00E82F23"/>
    <w:rsid w:val="00E83C71"/>
    <w:rsid w:val="00E8404F"/>
    <w:rsid w:val="00E844C0"/>
    <w:rsid w:val="00E84CC9"/>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s://www.hl7.org/fhir/operationslist.html" TargetMode="External"/><Relationship Id="rId3" Type="http://schemas.openxmlformats.org/officeDocument/2006/relationships/customXml" Target="../customXml/item3.xml"/><Relationship Id="rId21" Type="http://schemas.openxmlformats.org/officeDocument/2006/relationships/hyperlink" Target="https://www.hl7.org/fhir/operations.html#2.22.0"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operations.html%232.22.0"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searchparameter-registry.html" TargetMode="External"/><Relationship Id="rId29" Type="http://schemas.openxmlformats.org/officeDocument/2006/relationships/hyperlink" Target="http://www.fhir.org/guides/argonaut/r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http.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conformance-rules.html" TargetMode="External"/><Relationship Id="rId28" Type="http://schemas.openxmlformats.org/officeDocument/2006/relationships/hyperlink" Target="http://argonautwiki.hl7.org/index.php?title=Main_Page" TargetMode="External"/><Relationship Id="rId10" Type="http://schemas.openxmlformats.org/officeDocument/2006/relationships/endnotes" Target="endnotes.xml"/><Relationship Id="rId19" Type="http://schemas.openxmlformats.org/officeDocument/2006/relationships/hyperlink" Target="https://www.hl7.org/fhir/search_filter.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https://www.hl7.org/fhir/resourcelist.html" TargetMode="External"/><Relationship Id="rId30" Type="http://schemas.openxmlformats.org/officeDocument/2006/relationships/hyperlink" Target="http://www.fhir.org/guides/argonaut/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63168E-0840-491C-82BA-83676116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16595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