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8519326"/>
    <w:bookmarkStart w:id="1" w:name="_Toc504735222"/>
    <w:bookmarkStart w:id="2" w:name="_GoBack"/>
    <w:bookmarkEnd w:id="2"/>
    <w:p w14:paraId="11A60839" w14:textId="3126AF4A" w:rsidR="001342E6" w:rsidRDefault="003440B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"1-4" \h \z \u </w:instrText>
      </w:r>
      <w:r>
        <w:rPr>
          <w:rFonts w:eastAsia="Times New Roman"/>
        </w:rPr>
        <w:fldChar w:fldCharType="separate"/>
      </w:r>
      <w:hyperlink w:anchor="_Toc520758819" w:history="1">
        <w:r w:rsidR="001342E6" w:rsidRPr="00687648">
          <w:rPr>
            <w:rStyle w:val="Hyperlink"/>
            <w:rFonts w:eastAsia="Times New Roman"/>
            <w:noProof/>
          </w:rPr>
          <w:t>API Naming Convention</w:t>
        </w:r>
        <w:r w:rsidR="001342E6">
          <w:rPr>
            <w:noProof/>
            <w:webHidden/>
          </w:rPr>
          <w:tab/>
        </w:r>
        <w:r w:rsidR="001342E6">
          <w:rPr>
            <w:noProof/>
            <w:webHidden/>
          </w:rPr>
          <w:fldChar w:fldCharType="begin"/>
        </w:r>
        <w:r w:rsidR="001342E6">
          <w:rPr>
            <w:noProof/>
            <w:webHidden/>
          </w:rPr>
          <w:instrText xml:space="preserve"> PAGEREF _Toc520758819 \h </w:instrText>
        </w:r>
        <w:r w:rsidR="001342E6">
          <w:rPr>
            <w:noProof/>
            <w:webHidden/>
          </w:rPr>
        </w:r>
        <w:r w:rsidR="001342E6">
          <w:rPr>
            <w:noProof/>
            <w:webHidden/>
          </w:rPr>
          <w:fldChar w:fldCharType="separate"/>
        </w:r>
        <w:r w:rsidR="001342E6">
          <w:rPr>
            <w:noProof/>
            <w:webHidden/>
          </w:rPr>
          <w:t>2</w:t>
        </w:r>
        <w:r w:rsidR="001342E6">
          <w:rPr>
            <w:noProof/>
            <w:webHidden/>
          </w:rPr>
          <w:fldChar w:fldCharType="end"/>
        </w:r>
      </w:hyperlink>
    </w:p>
    <w:p w14:paraId="29963E29" w14:textId="161E63A9" w:rsidR="001342E6" w:rsidRDefault="001342E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0758820" w:history="1">
        <w:r w:rsidRPr="00687648">
          <w:rPr>
            <w:rStyle w:val="Hyperlink"/>
            <w:noProof/>
          </w:rPr>
          <w:t>Vendor Agnostic API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DB815E" w14:textId="157CC9D7" w:rsidR="001342E6" w:rsidRDefault="001342E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20758821" w:history="1">
        <w:r w:rsidRPr="00687648">
          <w:rPr>
            <w:rStyle w:val="Hyperlink"/>
            <w:noProof/>
          </w:rPr>
          <w:t>Middleware Artifacts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FE97CB" w14:textId="5F14E1D2" w:rsidR="001342E6" w:rsidRDefault="001342E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0758822" w:history="1">
        <w:r w:rsidRPr="00687648">
          <w:rPr>
            <w:rStyle w:val="Hyperlink"/>
            <w:noProof/>
          </w:rPr>
          <w:t>MuleSoft-specific API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11F367" w14:textId="51C154E7" w:rsidR="001342E6" w:rsidRDefault="001342E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20758823" w:history="1">
        <w:r w:rsidRPr="00687648">
          <w:rPr>
            <w:rStyle w:val="Hyperlink"/>
            <w:noProof/>
          </w:rPr>
          <w:t>Middleware Artifacts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_Toc520758823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3CBAF4" w14:textId="612CE04E" w:rsidR="00D44F60" w:rsidRDefault="003440B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fldChar w:fldCharType="end"/>
      </w:r>
      <w:r w:rsidR="00D44F60">
        <w:rPr>
          <w:rFonts w:eastAsia="Times New Roman"/>
        </w:rPr>
        <w:br w:type="page"/>
      </w:r>
    </w:p>
    <w:p w14:paraId="2ADD162F" w14:textId="77777777" w:rsidR="00982DB4" w:rsidRDefault="00982DB4" w:rsidP="00F800EC">
      <w:pPr>
        <w:pStyle w:val="Heading1"/>
        <w:spacing w:line="276" w:lineRule="auto"/>
        <w:rPr>
          <w:rFonts w:eastAsia="Times New Roman"/>
        </w:rPr>
      </w:pPr>
      <w:bookmarkStart w:id="3" w:name="_Toc520758819"/>
      <w:r>
        <w:rPr>
          <w:rFonts w:eastAsia="Times New Roman"/>
        </w:rPr>
        <w:lastRenderedPageBreak/>
        <w:t>API Naming Convention</w:t>
      </w:r>
      <w:bookmarkEnd w:id="0"/>
      <w:bookmarkEnd w:id="1"/>
      <w:bookmarkEnd w:id="3"/>
    </w:p>
    <w:p w14:paraId="7EA8C025" w14:textId="77777777" w:rsidR="00F800EC" w:rsidRDefault="00F800EC" w:rsidP="00CD5C58">
      <w:pPr>
        <w:pStyle w:val="Heading3"/>
      </w:pPr>
    </w:p>
    <w:p w14:paraId="55E48E4D" w14:textId="77777777" w:rsidR="00517ABC" w:rsidRPr="00517ABC" w:rsidRDefault="00517ABC" w:rsidP="00517ABC">
      <w:pPr>
        <w:pStyle w:val="Heading2"/>
      </w:pPr>
      <w:bookmarkStart w:id="4" w:name="_Toc498519327"/>
      <w:bookmarkStart w:id="5" w:name="_Toc504735223"/>
      <w:bookmarkStart w:id="6" w:name="_Toc520758820"/>
      <w:r>
        <w:t>Vendor Agnostic API Naming Convention</w:t>
      </w:r>
      <w:bookmarkEnd w:id="6"/>
    </w:p>
    <w:p w14:paraId="55E99E1E" w14:textId="347A8D2C" w:rsidR="00AF427B" w:rsidRDefault="00003692" w:rsidP="00AF427B">
      <w:pPr>
        <w:pStyle w:val="Heading3"/>
      </w:pPr>
      <w:bookmarkStart w:id="7" w:name="_Toc504735227"/>
      <w:bookmarkStart w:id="8" w:name="_Toc520758821"/>
      <w:bookmarkEnd w:id="4"/>
      <w:bookmarkEnd w:id="5"/>
      <w:r>
        <w:t>Middleware Artifacts</w:t>
      </w:r>
      <w:r w:rsidR="007E72F1">
        <w:t xml:space="preserve"> </w:t>
      </w:r>
      <w:r w:rsidR="00AF427B">
        <w:t>Naming Convention</w:t>
      </w:r>
      <w:bookmarkEnd w:id="8"/>
    </w:p>
    <w:p w14:paraId="4E09E2CF" w14:textId="6068D4FD" w:rsidR="00C925C7" w:rsidRDefault="006E2BAA" w:rsidP="00003692">
      <w:r>
        <w:t>Middleware artifacts are named</w:t>
      </w:r>
      <w:r w:rsidR="001D4333">
        <w:t xml:space="preserve"> based on the type of an artifact and its purpose.  Different middleware platforms have various types of artifacts but most of them can be grouped into the following categories:</w:t>
      </w:r>
    </w:p>
    <w:p w14:paraId="30BFE054" w14:textId="69014070" w:rsidR="001D4333" w:rsidRDefault="001D4333" w:rsidP="001D4333">
      <w:pPr>
        <w:pStyle w:val="ListParagraph"/>
        <w:numPr>
          <w:ilvl w:val="0"/>
          <w:numId w:val="41"/>
        </w:numPr>
      </w:pPr>
      <w:r>
        <w:t>Connectors</w:t>
      </w:r>
    </w:p>
    <w:p w14:paraId="7011F87A" w14:textId="5BC1B664" w:rsidR="001D4333" w:rsidRDefault="00800F46" w:rsidP="001D4333">
      <w:pPr>
        <w:pStyle w:val="ListParagraph"/>
        <w:numPr>
          <w:ilvl w:val="0"/>
          <w:numId w:val="41"/>
        </w:numPr>
      </w:pPr>
      <w:r>
        <w:t>Flows</w:t>
      </w:r>
    </w:p>
    <w:p w14:paraId="317EF6B7" w14:textId="2973FDFE" w:rsidR="00800F46" w:rsidRDefault="00800F46" w:rsidP="001D4333">
      <w:pPr>
        <w:pStyle w:val="ListParagraph"/>
        <w:numPr>
          <w:ilvl w:val="0"/>
          <w:numId w:val="41"/>
        </w:numPr>
      </w:pPr>
      <w:r>
        <w:t>Tasks</w:t>
      </w:r>
    </w:p>
    <w:p w14:paraId="61E3C09A" w14:textId="454F9344" w:rsidR="00800F46" w:rsidRDefault="00800F46" w:rsidP="001D4333">
      <w:pPr>
        <w:pStyle w:val="ListParagraph"/>
        <w:numPr>
          <w:ilvl w:val="0"/>
          <w:numId w:val="41"/>
        </w:numPr>
      </w:pPr>
      <w:r>
        <w:t xml:space="preserve">Custom objects and </w:t>
      </w:r>
      <w:r w:rsidR="00C25479">
        <w:t>methods</w:t>
      </w:r>
    </w:p>
    <w:p w14:paraId="1313B87B" w14:textId="6B76AAE0" w:rsidR="00800F46" w:rsidRDefault="00800F46" w:rsidP="001D4333">
      <w:pPr>
        <w:pStyle w:val="ListParagraph"/>
        <w:numPr>
          <w:ilvl w:val="0"/>
          <w:numId w:val="41"/>
        </w:numPr>
      </w:pPr>
      <w:r>
        <w:t>Configurations</w:t>
      </w:r>
    </w:p>
    <w:p w14:paraId="428652D4" w14:textId="246924E9" w:rsidR="00800F46" w:rsidRDefault="00800F46" w:rsidP="00800F46">
      <w:r>
        <w:t xml:space="preserve">Connectors are </w:t>
      </w:r>
      <w:r w:rsidR="00140C92">
        <w:t>platform-provided or custom integrations to third-party platforms.  For example, a common connector is a database connector for a specific database platform such as Oracle or SQL Server.  Another example is a Salesforce connector.  Connector nam</w:t>
      </w:r>
      <w:r w:rsidR="003B593F">
        <w:t xml:space="preserve">ing convention varies with each middleware platform, and each platform has its best practice standards.  </w:t>
      </w:r>
      <w:r w:rsidR="0095687F">
        <w:t>As a best practice, name the connector after the platform it is connecting to.  For example, “</w:t>
      </w:r>
      <w:proofErr w:type="spellStart"/>
      <w:r w:rsidR="0095687F" w:rsidRPr="0095687F">
        <w:rPr>
          <w:rFonts w:ascii="Courier New" w:hAnsi="Courier New" w:cs="Courier New"/>
        </w:rPr>
        <w:t>MySalesforceConnector</w:t>
      </w:r>
      <w:proofErr w:type="spellEnd"/>
      <w:r w:rsidR="0095687F">
        <w:t xml:space="preserve">”.  </w:t>
      </w:r>
    </w:p>
    <w:p w14:paraId="6867572D" w14:textId="32B7E76F" w:rsidR="009539B3" w:rsidRDefault="0095687F" w:rsidP="00800F46">
      <w:r>
        <w:t xml:space="preserve">Flows and sub-flows are groupings of connectors and tasks </w:t>
      </w:r>
      <w:r w:rsidR="008D17F2">
        <w:t>in a logical workflow.  A flow name should indicate the purpose and type of a flow</w:t>
      </w:r>
      <w:r w:rsidR="0093347E">
        <w:t>.  If this is an API-based flow, it is recommended to have the word “</w:t>
      </w:r>
      <w:proofErr w:type="spellStart"/>
      <w:r w:rsidR="0093347E">
        <w:t>api</w:t>
      </w:r>
      <w:proofErr w:type="spellEnd"/>
      <w:r w:rsidR="0093347E">
        <w:t>”</w:t>
      </w:r>
      <w:r w:rsidR="007F349A">
        <w:t xml:space="preserve"> in the flow name.  The word “flow” should be at the end of the flow name.  Typically, flow names a</w:t>
      </w:r>
      <w:r w:rsidR="002C08B7">
        <w:t>re all lower-cased, with words concatenated with a dash character.  For example, “</w:t>
      </w:r>
      <w:r w:rsidR="006272FD" w:rsidRPr="006272FD">
        <w:rPr>
          <w:rFonts w:ascii="Courier New" w:hAnsi="Courier New" w:cs="Courier New"/>
        </w:rPr>
        <w:t>customer-</w:t>
      </w:r>
      <w:proofErr w:type="spellStart"/>
      <w:r w:rsidR="006272FD" w:rsidRPr="006272FD">
        <w:rPr>
          <w:rFonts w:ascii="Courier New" w:hAnsi="Courier New" w:cs="Courier New"/>
        </w:rPr>
        <w:t>api</w:t>
      </w:r>
      <w:proofErr w:type="spellEnd"/>
      <w:r w:rsidR="006272FD" w:rsidRPr="006272FD">
        <w:rPr>
          <w:rFonts w:ascii="Courier New" w:hAnsi="Courier New" w:cs="Courier New"/>
        </w:rPr>
        <w:t>-flow</w:t>
      </w:r>
      <w:r w:rsidR="006272FD">
        <w:t>” or “</w:t>
      </w:r>
      <w:r w:rsidR="006272FD" w:rsidRPr="006272FD">
        <w:rPr>
          <w:rFonts w:ascii="Courier New" w:hAnsi="Courier New" w:cs="Courier New"/>
        </w:rPr>
        <w:t>address-sub-flow</w:t>
      </w:r>
      <w:r w:rsidR="006272FD">
        <w:t>”.</w:t>
      </w:r>
      <w:r w:rsidR="00C70903">
        <w:t xml:space="preserve">  </w:t>
      </w:r>
      <w:r w:rsidR="009539B3">
        <w:t>Batch mode flows and routines should have the word “batch” in the name to indicate that this flow or sub-flow is not triggered via a REST or SOAP API, but rather is a scheduled batch process.  For example, “</w:t>
      </w:r>
      <w:r w:rsidR="009539B3" w:rsidRPr="009539B3">
        <w:rPr>
          <w:rFonts w:ascii="Courier New" w:hAnsi="Courier New" w:cs="Courier New"/>
        </w:rPr>
        <w:t>account-sync-batch-flow</w:t>
      </w:r>
      <w:r w:rsidR="009539B3">
        <w:t>”.</w:t>
      </w:r>
    </w:p>
    <w:p w14:paraId="4633987E" w14:textId="0D8D8D30" w:rsidR="00C70903" w:rsidRDefault="00C70903" w:rsidP="00800F46">
      <w:r>
        <w:t xml:space="preserve">Tasks and routines should contain the key operation in the name.  For example, if </w:t>
      </w:r>
      <w:r w:rsidR="00100ECC">
        <w:t xml:space="preserve">the task is to call a web service, the name should contain </w:t>
      </w:r>
      <w:proofErr w:type="spellStart"/>
      <w:r w:rsidR="00100ECC" w:rsidRPr="00100ECC">
        <w:rPr>
          <w:rFonts w:ascii="Courier New" w:hAnsi="Courier New" w:cs="Courier New"/>
        </w:rPr>
        <w:t>callWebService</w:t>
      </w:r>
      <w:proofErr w:type="spellEnd"/>
      <w:r w:rsidR="00100ECC">
        <w:t xml:space="preserve"> or similar.  Task or operation names are usually lower-cased, following Hungarian notation, similar to how we define Java methods.</w:t>
      </w:r>
    </w:p>
    <w:p w14:paraId="0A6E252F" w14:textId="6A05CE47" w:rsidR="00C25479" w:rsidRDefault="00C25479" w:rsidP="00800F46">
      <w:r>
        <w:t>Custom objects and methods should follow objects and methods naming convention as described in the previous section of this document.</w:t>
      </w:r>
    </w:p>
    <w:p w14:paraId="76397AD1" w14:textId="4D46A9F1" w:rsidR="00B172F5" w:rsidRDefault="00B01F8F" w:rsidP="00800F46">
      <w:r>
        <w:t xml:space="preserve">Finally, configuration files follow the naming convention </w:t>
      </w:r>
      <w:r w:rsidR="00CB1961">
        <w:t xml:space="preserve">based on the main programming language used within a particular middleware platform.  </w:t>
      </w:r>
      <w:r w:rsidR="00B172F5">
        <w:t xml:space="preserve">As most of the middleware platforms are built on Java programming language except for Microsoft BizTalk, </w:t>
      </w:r>
      <w:r w:rsidR="00CA208D">
        <w:t>the configuration files and folders should be named following Java file naming conventions.</w:t>
      </w:r>
      <w:r w:rsidR="000950C8">
        <w:t xml:space="preserve">  </w:t>
      </w:r>
    </w:p>
    <w:p w14:paraId="54B8C9BD" w14:textId="24167B86" w:rsidR="00517ABC" w:rsidRPr="00363D3A" w:rsidRDefault="00517ABC" w:rsidP="00363D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9" w:name="_Toc504735230"/>
      <w:bookmarkEnd w:id="7"/>
    </w:p>
    <w:p w14:paraId="302B0A5A" w14:textId="77777777" w:rsidR="00890F5D" w:rsidRDefault="00890F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0204042" w14:textId="2AF26575" w:rsidR="00517ABC" w:rsidRDefault="00517ABC" w:rsidP="00517ABC">
      <w:pPr>
        <w:pStyle w:val="Heading2"/>
      </w:pPr>
      <w:bookmarkStart w:id="10" w:name="_Toc520758822"/>
      <w:r>
        <w:lastRenderedPageBreak/>
        <w:t>MuleSoft</w:t>
      </w:r>
      <w:r w:rsidR="00363D3A">
        <w:t>-s</w:t>
      </w:r>
      <w:r>
        <w:t>pecific API Naming Convention</w:t>
      </w:r>
      <w:bookmarkEnd w:id="10"/>
    </w:p>
    <w:p w14:paraId="7C8BFE4B" w14:textId="2B7E5CB6" w:rsidR="00420CF5" w:rsidRDefault="00003692" w:rsidP="00420CF5">
      <w:pPr>
        <w:pStyle w:val="Heading3"/>
      </w:pPr>
      <w:bookmarkStart w:id="11" w:name="_Toc520758823"/>
      <w:bookmarkEnd w:id="9"/>
      <w:r>
        <w:t>Middleware Artifacts</w:t>
      </w:r>
      <w:r w:rsidR="00077605">
        <w:t xml:space="preserve"> </w:t>
      </w:r>
      <w:r w:rsidR="00420CF5" w:rsidRPr="006732FE">
        <w:t>Naming Convention</w:t>
      </w:r>
      <w:bookmarkEnd w:id="11"/>
      <w:r w:rsidR="00420CF5">
        <w:t xml:space="preserve"> </w:t>
      </w:r>
    </w:p>
    <w:p w14:paraId="15EF0C17" w14:textId="189DA45D" w:rsidR="00835300" w:rsidRDefault="00EE16F4" w:rsidP="00003692">
      <w:pPr>
        <w:autoSpaceDE w:val="0"/>
        <w:autoSpaceDN w:val="0"/>
        <w:adjustRightInd w:val="0"/>
        <w:spacing w:after="0" w:line="240" w:lineRule="auto"/>
      </w:pPr>
      <w:r>
        <w:t xml:space="preserve">Mulesoft </w:t>
      </w:r>
      <w:r w:rsidR="005632E3">
        <w:t>middleware artifacts are separated into the following:</w:t>
      </w:r>
    </w:p>
    <w:p w14:paraId="72B73E9A" w14:textId="535A799D" w:rsidR="005632E3" w:rsidRDefault="005632E3" w:rsidP="005632E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Flows</w:t>
      </w:r>
    </w:p>
    <w:p w14:paraId="50F856FF" w14:textId="35045ACE" w:rsidR="005632E3" w:rsidRDefault="005632E3" w:rsidP="005632E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Sub-flows</w:t>
      </w:r>
    </w:p>
    <w:p w14:paraId="031C607D" w14:textId="7A7F52EF" w:rsidR="005632E3" w:rsidRDefault="005632E3" w:rsidP="005632E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Connectors</w:t>
      </w:r>
    </w:p>
    <w:p w14:paraId="2CAA3269" w14:textId="2F5AE85F" w:rsidR="006E2BAA" w:rsidRDefault="006E2BAA" w:rsidP="005632E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Mule configuration files</w:t>
      </w:r>
    </w:p>
    <w:p w14:paraId="480C6C23" w14:textId="580B8B56" w:rsidR="006E2BAA" w:rsidRDefault="006E2BAA" w:rsidP="006E2BAA">
      <w:pPr>
        <w:autoSpaceDE w:val="0"/>
        <w:autoSpaceDN w:val="0"/>
        <w:adjustRightInd w:val="0"/>
        <w:spacing w:after="0" w:line="240" w:lineRule="auto"/>
      </w:pPr>
    </w:p>
    <w:p w14:paraId="4DED4945" w14:textId="5BF8E769" w:rsidR="006E2BAA" w:rsidRDefault="00890F5D" w:rsidP="006E2BAA">
      <w:pPr>
        <w:autoSpaceDE w:val="0"/>
        <w:autoSpaceDN w:val="0"/>
        <w:adjustRightInd w:val="0"/>
        <w:spacing w:after="0" w:line="240" w:lineRule="auto"/>
      </w:pPr>
      <w:r>
        <w:t>Mule flow and sub-flow names should be all lower-cased, with words separated by dashes.  API-based flows sh</w:t>
      </w:r>
      <w:r w:rsidR="00AA596A">
        <w:t>ould contain the word “</w:t>
      </w:r>
      <w:proofErr w:type="spellStart"/>
      <w:r w:rsidR="00AA596A" w:rsidRPr="006218DB">
        <w:rPr>
          <w:rFonts w:ascii="Courier New" w:hAnsi="Courier New" w:cs="Courier New"/>
        </w:rPr>
        <w:t>api</w:t>
      </w:r>
      <w:proofErr w:type="spellEnd"/>
      <w:r w:rsidR="00AA596A">
        <w:t>”.  All flow names should end with the word “</w:t>
      </w:r>
      <w:r w:rsidR="00AA596A" w:rsidRPr="006218DB">
        <w:rPr>
          <w:rFonts w:ascii="Courier New" w:hAnsi="Courier New" w:cs="Courier New"/>
        </w:rPr>
        <w:t>flow</w:t>
      </w:r>
      <w:r w:rsidR="00AA596A">
        <w:t>”.  All sub-flow names should end with a word “</w:t>
      </w:r>
      <w:r w:rsidR="00AA596A" w:rsidRPr="006218DB">
        <w:rPr>
          <w:rFonts w:ascii="Courier New" w:hAnsi="Courier New" w:cs="Courier New"/>
        </w:rPr>
        <w:t>sub</w:t>
      </w:r>
      <w:r w:rsidR="001F1387" w:rsidRPr="006218DB">
        <w:rPr>
          <w:rFonts w:ascii="Courier New" w:hAnsi="Courier New" w:cs="Courier New"/>
        </w:rPr>
        <w:t>-f</w:t>
      </w:r>
      <w:r w:rsidR="00AA596A" w:rsidRPr="006218DB">
        <w:rPr>
          <w:rFonts w:ascii="Courier New" w:hAnsi="Courier New" w:cs="Courier New"/>
        </w:rPr>
        <w:t>low</w:t>
      </w:r>
      <w:r w:rsidR="00AA596A">
        <w:t>”.</w:t>
      </w:r>
      <w:r w:rsidR="001F1387">
        <w:t xml:space="preserve">  Batch flows should contain the word “</w:t>
      </w:r>
      <w:r w:rsidR="001F1387" w:rsidRPr="006218DB">
        <w:rPr>
          <w:rFonts w:ascii="Courier New" w:hAnsi="Courier New" w:cs="Courier New"/>
        </w:rPr>
        <w:t>batch</w:t>
      </w:r>
      <w:r w:rsidR="001F1387">
        <w:t xml:space="preserve">” in the </w:t>
      </w:r>
      <w:r w:rsidR="006218DB">
        <w:t xml:space="preserve">name of the flow or sub-flow.  </w:t>
      </w:r>
      <w:r w:rsidR="001F1387">
        <w:t>For example, “</w:t>
      </w:r>
      <w:r w:rsidR="001F1387" w:rsidRPr="008B418C">
        <w:rPr>
          <w:rFonts w:ascii="Courier New" w:hAnsi="Courier New" w:cs="Courier New"/>
        </w:rPr>
        <w:t>customer-</w:t>
      </w:r>
      <w:proofErr w:type="spellStart"/>
      <w:r w:rsidR="001F1387" w:rsidRPr="008B418C">
        <w:rPr>
          <w:rFonts w:ascii="Courier New" w:hAnsi="Courier New" w:cs="Courier New"/>
        </w:rPr>
        <w:t>api</w:t>
      </w:r>
      <w:r w:rsidR="001342E6">
        <w:rPr>
          <w:rFonts w:ascii="Courier New" w:hAnsi="Courier New" w:cs="Courier New"/>
        </w:rPr>
        <w:t>F</w:t>
      </w:r>
      <w:r w:rsidR="001F1387" w:rsidRPr="008B418C">
        <w:rPr>
          <w:rFonts w:ascii="Courier New" w:hAnsi="Courier New" w:cs="Courier New"/>
        </w:rPr>
        <w:t>low</w:t>
      </w:r>
      <w:proofErr w:type="spellEnd"/>
      <w:r w:rsidR="001F1387">
        <w:t>” or “</w:t>
      </w:r>
      <w:r w:rsidR="008B418C" w:rsidRPr="008B418C">
        <w:rPr>
          <w:rFonts w:ascii="Courier New" w:hAnsi="Courier New" w:cs="Courier New"/>
        </w:rPr>
        <w:t>account-sync-</w:t>
      </w:r>
      <w:proofErr w:type="spellStart"/>
      <w:r w:rsidR="008B418C" w:rsidRPr="008B418C">
        <w:rPr>
          <w:rFonts w:ascii="Courier New" w:hAnsi="Courier New" w:cs="Courier New"/>
        </w:rPr>
        <w:t>batch</w:t>
      </w:r>
      <w:r w:rsidR="001342E6">
        <w:rPr>
          <w:rFonts w:ascii="Courier New" w:hAnsi="Courier New" w:cs="Courier New"/>
        </w:rPr>
        <w:t>F</w:t>
      </w:r>
      <w:r w:rsidR="008B418C" w:rsidRPr="008B418C">
        <w:rPr>
          <w:rFonts w:ascii="Courier New" w:hAnsi="Courier New" w:cs="Courier New"/>
        </w:rPr>
        <w:t>low</w:t>
      </w:r>
      <w:proofErr w:type="spellEnd"/>
      <w:r w:rsidR="008B418C">
        <w:t xml:space="preserve">”.  </w:t>
      </w:r>
    </w:p>
    <w:p w14:paraId="70D7CDC7" w14:textId="21FE3744" w:rsidR="006C6C3C" w:rsidRDefault="006C6C3C" w:rsidP="006E2BAA">
      <w:pPr>
        <w:autoSpaceDE w:val="0"/>
        <w:autoSpaceDN w:val="0"/>
        <w:adjustRightInd w:val="0"/>
        <w:spacing w:after="0" w:line="240" w:lineRule="auto"/>
      </w:pPr>
    </w:p>
    <w:p w14:paraId="309AFBCE" w14:textId="316F2EDE" w:rsidR="006C6C3C" w:rsidRDefault="006C6C3C" w:rsidP="006E2BAA">
      <w:pPr>
        <w:autoSpaceDE w:val="0"/>
        <w:autoSpaceDN w:val="0"/>
        <w:adjustRightInd w:val="0"/>
        <w:spacing w:after="0" w:line="240" w:lineRule="auto"/>
      </w:pPr>
      <w:r>
        <w:t>In addition, the flows and sub-flows that are tied to a specific platform such as Anypoint MQ, should have “</w:t>
      </w:r>
      <w:proofErr w:type="spellStart"/>
      <w:r>
        <w:t>mq</w:t>
      </w:r>
      <w:proofErr w:type="spellEnd"/>
      <w:r>
        <w:t>” next to the word “</w:t>
      </w:r>
      <w:r w:rsidRPr="006C6C3C">
        <w:rPr>
          <w:rFonts w:ascii="Courier New" w:hAnsi="Courier New" w:cs="Courier New"/>
        </w:rPr>
        <w:t>flow</w:t>
      </w:r>
      <w:r>
        <w:t>”.  For example, “</w:t>
      </w:r>
      <w:r>
        <w:rPr>
          <w:rFonts w:ascii="Courier New" w:hAnsi="Courier New" w:cs="Courier New"/>
        </w:rPr>
        <w:t>account</w:t>
      </w:r>
      <w:r w:rsidRPr="006C6C3C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sync</w:t>
      </w:r>
      <w:r w:rsidRPr="006C6C3C">
        <w:rPr>
          <w:rFonts w:ascii="Courier New" w:hAnsi="Courier New" w:cs="Courier New"/>
        </w:rPr>
        <w:t>-</w:t>
      </w:r>
      <w:proofErr w:type="spellStart"/>
      <w:r w:rsidRPr="006C6C3C">
        <w:rPr>
          <w:rFonts w:ascii="Courier New" w:hAnsi="Courier New" w:cs="Courier New"/>
        </w:rPr>
        <w:t>mqFlow</w:t>
      </w:r>
      <w:proofErr w:type="spellEnd"/>
      <w:r>
        <w:t>”.</w:t>
      </w:r>
    </w:p>
    <w:p w14:paraId="3CED124D" w14:textId="6DE3E232" w:rsidR="006218DB" w:rsidRDefault="006218DB" w:rsidP="006E2BAA">
      <w:pPr>
        <w:autoSpaceDE w:val="0"/>
        <w:autoSpaceDN w:val="0"/>
        <w:adjustRightInd w:val="0"/>
        <w:spacing w:after="0" w:line="240" w:lineRule="auto"/>
      </w:pPr>
    </w:p>
    <w:p w14:paraId="5A698A47" w14:textId="7F534BE4" w:rsidR="006218DB" w:rsidRDefault="00E479A8" w:rsidP="006E2BAA">
      <w:pPr>
        <w:autoSpaceDE w:val="0"/>
        <w:autoSpaceDN w:val="0"/>
        <w:adjustRightInd w:val="0"/>
        <w:spacing w:after="0" w:line="240" w:lineRule="auto"/>
      </w:pPr>
      <w:r>
        <w:t>The Mule connectors, as they are named in the flows, should indicate the source system that they are used to connect to.  For example, a Mulesoft Salesforce Connector should have the target Salesforce instance in the name of the connector.</w:t>
      </w:r>
    </w:p>
    <w:p w14:paraId="39937186" w14:textId="6876F9B8" w:rsidR="00E479A8" w:rsidRDefault="00E479A8" w:rsidP="006E2BAA">
      <w:pPr>
        <w:autoSpaceDE w:val="0"/>
        <w:autoSpaceDN w:val="0"/>
        <w:adjustRightInd w:val="0"/>
        <w:spacing w:after="0" w:line="240" w:lineRule="auto"/>
      </w:pPr>
    </w:p>
    <w:p w14:paraId="3756F218" w14:textId="39B2B669" w:rsidR="00E479A8" w:rsidRDefault="00E479A8" w:rsidP="006E2BAA">
      <w:pPr>
        <w:autoSpaceDE w:val="0"/>
        <w:autoSpaceDN w:val="0"/>
        <w:adjustRightInd w:val="0"/>
        <w:spacing w:after="0" w:line="240" w:lineRule="auto"/>
      </w:pPr>
      <w:r>
        <w:t xml:space="preserve">It is common to also </w:t>
      </w:r>
      <w:r w:rsidR="00D00724">
        <w:t>label specific connectors such as Logging or Anypoint MQ with an all-CAPS prefix:</w:t>
      </w:r>
    </w:p>
    <w:p w14:paraId="180CA467" w14:textId="380BB71F" w:rsidR="00D00724" w:rsidRDefault="00D00724" w:rsidP="006E2BAA">
      <w:pPr>
        <w:autoSpaceDE w:val="0"/>
        <w:autoSpaceDN w:val="0"/>
        <w:adjustRightInd w:val="0"/>
        <w:spacing w:after="0" w:line="240" w:lineRule="auto"/>
      </w:pPr>
    </w:p>
    <w:p w14:paraId="347CE07A" w14:textId="1B37ACB5" w:rsidR="00D00724" w:rsidRDefault="00D00724" w:rsidP="00D0072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“</w:t>
      </w:r>
      <w:r w:rsidRPr="000858E9">
        <w:rPr>
          <w:rFonts w:ascii="Courier New" w:hAnsi="Courier New" w:cs="Courier New"/>
        </w:rPr>
        <w:t>LOG:</w:t>
      </w:r>
      <w:r>
        <w:t>” for a default logging connector</w:t>
      </w:r>
    </w:p>
    <w:p w14:paraId="41E965DC" w14:textId="1B7FD9BB" w:rsidR="00D00724" w:rsidRDefault="00D00724" w:rsidP="00D0072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“</w:t>
      </w:r>
      <w:r w:rsidRPr="000858E9">
        <w:rPr>
          <w:rFonts w:ascii="Courier New" w:hAnsi="Courier New" w:cs="Courier New"/>
        </w:rPr>
        <w:t>JSON:</w:t>
      </w:r>
      <w:r>
        <w:t>” for a JSON logging connector</w:t>
      </w:r>
    </w:p>
    <w:p w14:paraId="12D09A67" w14:textId="49B28554" w:rsidR="00D00724" w:rsidRDefault="00D00724" w:rsidP="00D0072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“</w:t>
      </w:r>
      <w:r w:rsidRPr="000858E9">
        <w:rPr>
          <w:rFonts w:ascii="Courier New" w:hAnsi="Courier New" w:cs="Courier New"/>
        </w:rPr>
        <w:t>MQ:</w:t>
      </w:r>
      <w:r>
        <w:t>” for an Anypoint MQ connector</w:t>
      </w:r>
    </w:p>
    <w:p w14:paraId="60B1CA6C" w14:textId="3115C048" w:rsidR="00D00724" w:rsidRDefault="00D00724" w:rsidP="00D0072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“</w:t>
      </w:r>
      <w:r w:rsidRPr="000858E9">
        <w:rPr>
          <w:rFonts w:ascii="Courier New" w:hAnsi="Courier New" w:cs="Courier New"/>
        </w:rPr>
        <w:t>SFDC:</w:t>
      </w:r>
      <w:r>
        <w:t>” for a Salesforce connector</w:t>
      </w:r>
    </w:p>
    <w:p w14:paraId="2A7E45CD" w14:textId="0583B1D3" w:rsidR="00D00724" w:rsidRDefault="00D00724" w:rsidP="00D0072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“</w:t>
      </w:r>
      <w:r w:rsidRPr="000858E9">
        <w:rPr>
          <w:rFonts w:ascii="Courier New" w:hAnsi="Courier New" w:cs="Courier New"/>
        </w:rPr>
        <w:t>DB:</w:t>
      </w:r>
      <w:r>
        <w:t>” for a database connector</w:t>
      </w:r>
    </w:p>
    <w:p w14:paraId="28499910" w14:textId="72E295F4" w:rsidR="00D00724" w:rsidRDefault="00D00724" w:rsidP="00D00724">
      <w:pPr>
        <w:autoSpaceDE w:val="0"/>
        <w:autoSpaceDN w:val="0"/>
        <w:adjustRightInd w:val="0"/>
        <w:spacing w:after="0" w:line="240" w:lineRule="auto"/>
      </w:pPr>
    </w:p>
    <w:p w14:paraId="799FB357" w14:textId="225F1935" w:rsidR="00D00724" w:rsidRDefault="00D00724" w:rsidP="00D00724">
      <w:pPr>
        <w:autoSpaceDE w:val="0"/>
        <w:autoSpaceDN w:val="0"/>
        <w:adjustRightInd w:val="0"/>
        <w:spacing w:after="0" w:line="240" w:lineRule="auto"/>
      </w:pPr>
      <w:r>
        <w:t>For example, “</w:t>
      </w:r>
      <w:r w:rsidRPr="000858E9">
        <w:rPr>
          <w:rFonts w:ascii="Courier New" w:hAnsi="Courier New" w:cs="Courier New"/>
        </w:rPr>
        <w:t>LOG: Log</w:t>
      </w:r>
      <w:r w:rsidR="000858E9" w:rsidRPr="000858E9">
        <w:rPr>
          <w:rFonts w:ascii="Courier New" w:hAnsi="Courier New" w:cs="Courier New"/>
        </w:rPr>
        <w:t xml:space="preserve"> Message Payload</w:t>
      </w:r>
      <w:r w:rsidR="000858E9">
        <w:t>” to log the message payload.</w:t>
      </w:r>
    </w:p>
    <w:p w14:paraId="3556C33F" w14:textId="76D29E81" w:rsidR="000858E9" w:rsidRDefault="000858E9" w:rsidP="00D00724">
      <w:pPr>
        <w:autoSpaceDE w:val="0"/>
        <w:autoSpaceDN w:val="0"/>
        <w:adjustRightInd w:val="0"/>
        <w:spacing w:after="0" w:line="240" w:lineRule="auto"/>
      </w:pPr>
    </w:p>
    <w:p w14:paraId="061C2955" w14:textId="5AAD9AFA" w:rsidR="001342E6" w:rsidRDefault="001342E6" w:rsidP="00D00724">
      <w:pPr>
        <w:autoSpaceDE w:val="0"/>
        <w:autoSpaceDN w:val="0"/>
        <w:adjustRightInd w:val="0"/>
        <w:spacing w:after="0" w:line="240" w:lineRule="auto"/>
      </w:pPr>
      <w:r>
        <w:t>A screenshot below shows how the connector names are defined in a sample Mule flow.</w:t>
      </w:r>
    </w:p>
    <w:p w14:paraId="2C7EF7D0" w14:textId="0FF4EB0B" w:rsidR="000858E9" w:rsidRDefault="006C6C3C" w:rsidP="006C6C3C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E9BE51" wp14:editId="3F37018B">
            <wp:extent cx="488632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A4DF" w14:textId="511F570A" w:rsidR="009952E1" w:rsidRDefault="009952E1" w:rsidP="00C87660">
      <w:pPr>
        <w:autoSpaceDE w:val="0"/>
        <w:autoSpaceDN w:val="0"/>
        <w:adjustRightInd w:val="0"/>
        <w:spacing w:after="0" w:line="240" w:lineRule="auto"/>
      </w:pPr>
    </w:p>
    <w:p w14:paraId="3A5AFBE4" w14:textId="27094C01" w:rsidR="001342E6" w:rsidRDefault="001342E6" w:rsidP="00C87660">
      <w:pPr>
        <w:autoSpaceDE w:val="0"/>
        <w:autoSpaceDN w:val="0"/>
        <w:adjustRightInd w:val="0"/>
        <w:spacing w:after="0" w:line="240" w:lineRule="auto"/>
      </w:pPr>
      <w:r>
        <w:t>Mulesoft configuration files follow the following naming convention:</w:t>
      </w:r>
    </w:p>
    <w:p w14:paraId="2AB579BD" w14:textId="7A1C48D7" w:rsidR="001342E6" w:rsidRDefault="001342E6" w:rsidP="001342E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All files are lower-cased</w:t>
      </w:r>
    </w:p>
    <w:p w14:paraId="2A2355E5" w14:textId="049A39CD" w:rsidR="001342E6" w:rsidRDefault="001342E6" w:rsidP="001342E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Words are concatenated with dashes in the file names</w:t>
      </w:r>
    </w:p>
    <w:p w14:paraId="2BA820E0" w14:textId="06479965" w:rsidR="001342E6" w:rsidRDefault="001342E6" w:rsidP="001342E6">
      <w:pPr>
        <w:autoSpaceDE w:val="0"/>
        <w:autoSpaceDN w:val="0"/>
        <w:adjustRightInd w:val="0"/>
        <w:spacing w:after="0" w:line="240" w:lineRule="auto"/>
      </w:pPr>
    </w:p>
    <w:p w14:paraId="03D47D4E" w14:textId="420424E5" w:rsidR="001342E6" w:rsidRDefault="001342E6" w:rsidP="001342E6">
      <w:pPr>
        <w:autoSpaceDE w:val="0"/>
        <w:autoSpaceDN w:val="0"/>
        <w:adjustRightInd w:val="0"/>
        <w:spacing w:after="0" w:line="240" w:lineRule="auto"/>
      </w:pPr>
      <w:r>
        <w:t>For example, “</w:t>
      </w:r>
      <w:r w:rsidRPr="001342E6">
        <w:rPr>
          <w:rFonts w:ascii="Courier New" w:hAnsi="Courier New" w:cs="Courier New"/>
        </w:rPr>
        <w:t>mule-</w:t>
      </w:r>
      <w:proofErr w:type="spellStart"/>
      <w:proofErr w:type="gramStart"/>
      <w:r w:rsidRPr="001342E6">
        <w:rPr>
          <w:rFonts w:ascii="Courier New" w:hAnsi="Courier New" w:cs="Courier New"/>
        </w:rPr>
        <w:t>app.propertes</w:t>
      </w:r>
      <w:proofErr w:type="spellEnd"/>
      <w:proofErr w:type="gramEnd"/>
      <w:r>
        <w:t>” or “</w:t>
      </w:r>
      <w:r w:rsidRPr="001342E6">
        <w:rPr>
          <w:rFonts w:ascii="Courier New" w:hAnsi="Courier New" w:cs="Courier New"/>
        </w:rPr>
        <w:t>pom.xml</w:t>
      </w:r>
      <w:r>
        <w:t>”.</w:t>
      </w:r>
    </w:p>
    <w:sectPr w:rsidR="001342E6">
      <w:headerReference w:type="even" r:id="rId9"/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FB564" w14:textId="77777777" w:rsidR="00EB122A" w:rsidRDefault="00EB122A" w:rsidP="00CB61B5">
      <w:pPr>
        <w:spacing w:after="0" w:line="240" w:lineRule="auto"/>
      </w:pPr>
      <w:r>
        <w:separator/>
      </w:r>
    </w:p>
  </w:endnote>
  <w:endnote w:type="continuationSeparator" w:id="0">
    <w:p w14:paraId="4E5A07BD" w14:textId="77777777" w:rsidR="00EB122A" w:rsidRDefault="00EB122A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994C" w14:textId="77777777" w:rsidR="00EB122A" w:rsidRDefault="00EB122A" w:rsidP="00CB61B5">
      <w:pPr>
        <w:spacing w:after="0" w:line="240" w:lineRule="auto"/>
      </w:pPr>
      <w:r>
        <w:separator/>
      </w:r>
    </w:p>
  </w:footnote>
  <w:footnote w:type="continuationSeparator" w:id="0">
    <w:p w14:paraId="2E2D3B59" w14:textId="77777777" w:rsidR="00EB122A" w:rsidRDefault="00EB122A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81495"/>
    <w:multiLevelType w:val="hybridMultilevel"/>
    <w:tmpl w:val="B7FA6E8A"/>
    <w:lvl w:ilvl="0" w:tplc="DACC5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E418A"/>
    <w:multiLevelType w:val="hybridMultilevel"/>
    <w:tmpl w:val="714E4B72"/>
    <w:lvl w:ilvl="0" w:tplc="DACC5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83180"/>
    <w:multiLevelType w:val="hybridMultilevel"/>
    <w:tmpl w:val="8B62B178"/>
    <w:lvl w:ilvl="0" w:tplc="22EAA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85587"/>
    <w:multiLevelType w:val="hybridMultilevel"/>
    <w:tmpl w:val="9FA86D6A"/>
    <w:lvl w:ilvl="0" w:tplc="3F8C6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0"/>
  </w:num>
  <w:num w:numId="3">
    <w:abstractNumId w:val="1"/>
  </w:num>
  <w:num w:numId="4">
    <w:abstractNumId w:val="5"/>
  </w:num>
  <w:num w:numId="5">
    <w:abstractNumId w:val="21"/>
  </w:num>
  <w:num w:numId="6">
    <w:abstractNumId w:val="28"/>
  </w:num>
  <w:num w:numId="7">
    <w:abstractNumId w:val="2"/>
  </w:num>
  <w:num w:numId="8">
    <w:abstractNumId w:val="7"/>
  </w:num>
  <w:num w:numId="9">
    <w:abstractNumId w:val="26"/>
  </w:num>
  <w:num w:numId="10">
    <w:abstractNumId w:val="30"/>
  </w:num>
  <w:num w:numId="11">
    <w:abstractNumId w:val="10"/>
  </w:num>
  <w:num w:numId="12">
    <w:abstractNumId w:val="36"/>
  </w:num>
  <w:num w:numId="13">
    <w:abstractNumId w:val="34"/>
  </w:num>
  <w:num w:numId="14">
    <w:abstractNumId w:val="11"/>
  </w:num>
  <w:num w:numId="15">
    <w:abstractNumId w:val="3"/>
  </w:num>
  <w:num w:numId="16">
    <w:abstractNumId w:val="37"/>
  </w:num>
  <w:num w:numId="17">
    <w:abstractNumId w:val="6"/>
  </w:num>
  <w:num w:numId="18">
    <w:abstractNumId w:val="35"/>
  </w:num>
  <w:num w:numId="19">
    <w:abstractNumId w:val="17"/>
  </w:num>
  <w:num w:numId="20">
    <w:abstractNumId w:val="38"/>
  </w:num>
  <w:num w:numId="21">
    <w:abstractNumId w:val="13"/>
  </w:num>
  <w:num w:numId="22">
    <w:abstractNumId w:val="23"/>
  </w:num>
  <w:num w:numId="23">
    <w:abstractNumId w:val="19"/>
  </w:num>
  <w:num w:numId="24">
    <w:abstractNumId w:val="8"/>
  </w:num>
  <w:num w:numId="25">
    <w:abstractNumId w:val="15"/>
  </w:num>
  <w:num w:numId="26">
    <w:abstractNumId w:val="24"/>
  </w:num>
  <w:num w:numId="27">
    <w:abstractNumId w:val="27"/>
  </w:num>
  <w:num w:numId="28">
    <w:abstractNumId w:val="0"/>
  </w:num>
  <w:num w:numId="29">
    <w:abstractNumId w:val="14"/>
  </w:num>
  <w:num w:numId="30">
    <w:abstractNumId w:val="29"/>
  </w:num>
  <w:num w:numId="31">
    <w:abstractNumId w:val="4"/>
  </w:num>
  <w:num w:numId="32">
    <w:abstractNumId w:val="16"/>
  </w:num>
  <w:num w:numId="33">
    <w:abstractNumId w:val="39"/>
  </w:num>
  <w:num w:numId="34">
    <w:abstractNumId w:val="20"/>
  </w:num>
  <w:num w:numId="35">
    <w:abstractNumId w:val="25"/>
  </w:num>
  <w:num w:numId="36">
    <w:abstractNumId w:val="33"/>
  </w:num>
  <w:num w:numId="37">
    <w:abstractNumId w:val="41"/>
  </w:num>
  <w:num w:numId="38">
    <w:abstractNumId w:val="32"/>
  </w:num>
  <w:num w:numId="39">
    <w:abstractNumId w:val="22"/>
  </w:num>
  <w:num w:numId="40">
    <w:abstractNumId w:val="31"/>
  </w:num>
  <w:num w:numId="41">
    <w:abstractNumId w:val="1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3692"/>
    <w:rsid w:val="00003C79"/>
    <w:rsid w:val="000103A5"/>
    <w:rsid w:val="000116C9"/>
    <w:rsid w:val="000128A0"/>
    <w:rsid w:val="000150BB"/>
    <w:rsid w:val="00015AF1"/>
    <w:rsid w:val="00017E93"/>
    <w:rsid w:val="000262C0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8E9"/>
    <w:rsid w:val="0008594D"/>
    <w:rsid w:val="00087EBC"/>
    <w:rsid w:val="000950C8"/>
    <w:rsid w:val="000A0A4F"/>
    <w:rsid w:val="000B2103"/>
    <w:rsid w:val="000B3E6F"/>
    <w:rsid w:val="000B7398"/>
    <w:rsid w:val="000C79A5"/>
    <w:rsid w:val="000E0527"/>
    <w:rsid w:val="000F1A1A"/>
    <w:rsid w:val="00100ECC"/>
    <w:rsid w:val="00105EC1"/>
    <w:rsid w:val="0010710E"/>
    <w:rsid w:val="001342E6"/>
    <w:rsid w:val="00135791"/>
    <w:rsid w:val="00140C92"/>
    <w:rsid w:val="001425D3"/>
    <w:rsid w:val="00144C6A"/>
    <w:rsid w:val="00145C5C"/>
    <w:rsid w:val="00160C70"/>
    <w:rsid w:val="001630B9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D4333"/>
    <w:rsid w:val="001E6E85"/>
    <w:rsid w:val="001F0EAD"/>
    <w:rsid w:val="001F1387"/>
    <w:rsid w:val="001F38C9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755FA"/>
    <w:rsid w:val="002778D7"/>
    <w:rsid w:val="00277B70"/>
    <w:rsid w:val="00292869"/>
    <w:rsid w:val="002B1E71"/>
    <w:rsid w:val="002C08B7"/>
    <w:rsid w:val="002D2740"/>
    <w:rsid w:val="002D3059"/>
    <w:rsid w:val="002D5322"/>
    <w:rsid w:val="002D7494"/>
    <w:rsid w:val="002D7854"/>
    <w:rsid w:val="00302743"/>
    <w:rsid w:val="00316176"/>
    <w:rsid w:val="00343F0C"/>
    <w:rsid w:val="003440B3"/>
    <w:rsid w:val="00344D50"/>
    <w:rsid w:val="00346F8F"/>
    <w:rsid w:val="00363D3A"/>
    <w:rsid w:val="003709F6"/>
    <w:rsid w:val="00370A66"/>
    <w:rsid w:val="003762A7"/>
    <w:rsid w:val="00376447"/>
    <w:rsid w:val="003900CF"/>
    <w:rsid w:val="003A3A6A"/>
    <w:rsid w:val="003B264E"/>
    <w:rsid w:val="003B593F"/>
    <w:rsid w:val="003C556F"/>
    <w:rsid w:val="003C5DD6"/>
    <w:rsid w:val="003C6718"/>
    <w:rsid w:val="003C75E3"/>
    <w:rsid w:val="003E4F43"/>
    <w:rsid w:val="003E5BCB"/>
    <w:rsid w:val="003F3FC6"/>
    <w:rsid w:val="003F7352"/>
    <w:rsid w:val="00400461"/>
    <w:rsid w:val="004018E0"/>
    <w:rsid w:val="00420CF5"/>
    <w:rsid w:val="00431159"/>
    <w:rsid w:val="00441EC5"/>
    <w:rsid w:val="00450B5D"/>
    <w:rsid w:val="0045458D"/>
    <w:rsid w:val="00455B28"/>
    <w:rsid w:val="00455EE3"/>
    <w:rsid w:val="00461D64"/>
    <w:rsid w:val="0046634D"/>
    <w:rsid w:val="004708FF"/>
    <w:rsid w:val="00477F1C"/>
    <w:rsid w:val="00490AB5"/>
    <w:rsid w:val="004A159C"/>
    <w:rsid w:val="004B14AB"/>
    <w:rsid w:val="004B52A3"/>
    <w:rsid w:val="004C6326"/>
    <w:rsid w:val="004D4411"/>
    <w:rsid w:val="004F5BF5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632E3"/>
    <w:rsid w:val="00574BFA"/>
    <w:rsid w:val="0058293C"/>
    <w:rsid w:val="00583444"/>
    <w:rsid w:val="00597FA4"/>
    <w:rsid w:val="005A5E3F"/>
    <w:rsid w:val="005B26DC"/>
    <w:rsid w:val="005B41F8"/>
    <w:rsid w:val="005B73C9"/>
    <w:rsid w:val="005C26E4"/>
    <w:rsid w:val="005D5F81"/>
    <w:rsid w:val="005E3EA2"/>
    <w:rsid w:val="005F3BC5"/>
    <w:rsid w:val="0060449A"/>
    <w:rsid w:val="00607F3A"/>
    <w:rsid w:val="006107FD"/>
    <w:rsid w:val="006218DB"/>
    <w:rsid w:val="00625700"/>
    <w:rsid w:val="006272FD"/>
    <w:rsid w:val="0064560A"/>
    <w:rsid w:val="00664C49"/>
    <w:rsid w:val="0066623A"/>
    <w:rsid w:val="006773C7"/>
    <w:rsid w:val="00682A13"/>
    <w:rsid w:val="00686618"/>
    <w:rsid w:val="00691ADD"/>
    <w:rsid w:val="006A02A4"/>
    <w:rsid w:val="006A6418"/>
    <w:rsid w:val="006B5D93"/>
    <w:rsid w:val="006B7737"/>
    <w:rsid w:val="006C6C3C"/>
    <w:rsid w:val="006D68F4"/>
    <w:rsid w:val="006E2BAA"/>
    <w:rsid w:val="006E4BA0"/>
    <w:rsid w:val="00700DA7"/>
    <w:rsid w:val="00705458"/>
    <w:rsid w:val="007148BB"/>
    <w:rsid w:val="00724E95"/>
    <w:rsid w:val="00737437"/>
    <w:rsid w:val="00744BA5"/>
    <w:rsid w:val="00747702"/>
    <w:rsid w:val="00750710"/>
    <w:rsid w:val="00761139"/>
    <w:rsid w:val="00761440"/>
    <w:rsid w:val="007764C2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0734"/>
    <w:rsid w:val="007C335E"/>
    <w:rsid w:val="007C5465"/>
    <w:rsid w:val="007D1B4A"/>
    <w:rsid w:val="007D58B5"/>
    <w:rsid w:val="007E72F1"/>
    <w:rsid w:val="007F349A"/>
    <w:rsid w:val="007F5150"/>
    <w:rsid w:val="00800F46"/>
    <w:rsid w:val="00801CB1"/>
    <w:rsid w:val="008033F7"/>
    <w:rsid w:val="008138D7"/>
    <w:rsid w:val="00816EE5"/>
    <w:rsid w:val="008259DF"/>
    <w:rsid w:val="00835300"/>
    <w:rsid w:val="0084096F"/>
    <w:rsid w:val="00846DAF"/>
    <w:rsid w:val="008476B4"/>
    <w:rsid w:val="00871D1A"/>
    <w:rsid w:val="00871ED5"/>
    <w:rsid w:val="00881209"/>
    <w:rsid w:val="008871EF"/>
    <w:rsid w:val="00890F5D"/>
    <w:rsid w:val="008926E2"/>
    <w:rsid w:val="0089571E"/>
    <w:rsid w:val="00897043"/>
    <w:rsid w:val="00897E4A"/>
    <w:rsid w:val="008A2BB8"/>
    <w:rsid w:val="008A788F"/>
    <w:rsid w:val="008B418C"/>
    <w:rsid w:val="008C29CA"/>
    <w:rsid w:val="008C64B4"/>
    <w:rsid w:val="008D17F2"/>
    <w:rsid w:val="008D2406"/>
    <w:rsid w:val="008D2ED1"/>
    <w:rsid w:val="008D2FBD"/>
    <w:rsid w:val="008E11C5"/>
    <w:rsid w:val="00900004"/>
    <w:rsid w:val="009152E1"/>
    <w:rsid w:val="00923A1D"/>
    <w:rsid w:val="00932A82"/>
    <w:rsid w:val="0093347E"/>
    <w:rsid w:val="00941769"/>
    <w:rsid w:val="009539B3"/>
    <w:rsid w:val="0095687F"/>
    <w:rsid w:val="00975164"/>
    <w:rsid w:val="00976762"/>
    <w:rsid w:val="00982DB4"/>
    <w:rsid w:val="009952E1"/>
    <w:rsid w:val="00996901"/>
    <w:rsid w:val="009B1430"/>
    <w:rsid w:val="009B292D"/>
    <w:rsid w:val="009D1DC3"/>
    <w:rsid w:val="009D5957"/>
    <w:rsid w:val="009D6F32"/>
    <w:rsid w:val="009E788C"/>
    <w:rsid w:val="00A130F2"/>
    <w:rsid w:val="00A1647F"/>
    <w:rsid w:val="00A17C81"/>
    <w:rsid w:val="00A659B6"/>
    <w:rsid w:val="00A71F66"/>
    <w:rsid w:val="00A73DAB"/>
    <w:rsid w:val="00A76B1F"/>
    <w:rsid w:val="00A83CCA"/>
    <w:rsid w:val="00A85319"/>
    <w:rsid w:val="00A86D07"/>
    <w:rsid w:val="00AA2FF9"/>
    <w:rsid w:val="00AA596A"/>
    <w:rsid w:val="00AB5F69"/>
    <w:rsid w:val="00AC6CAA"/>
    <w:rsid w:val="00AC6E66"/>
    <w:rsid w:val="00AC7001"/>
    <w:rsid w:val="00AE58B2"/>
    <w:rsid w:val="00AF34D4"/>
    <w:rsid w:val="00AF427B"/>
    <w:rsid w:val="00AF5EC7"/>
    <w:rsid w:val="00B0009A"/>
    <w:rsid w:val="00B01F8F"/>
    <w:rsid w:val="00B0425D"/>
    <w:rsid w:val="00B05846"/>
    <w:rsid w:val="00B05CA4"/>
    <w:rsid w:val="00B14A96"/>
    <w:rsid w:val="00B155CD"/>
    <w:rsid w:val="00B172F5"/>
    <w:rsid w:val="00B17C9D"/>
    <w:rsid w:val="00B20588"/>
    <w:rsid w:val="00B22B3C"/>
    <w:rsid w:val="00B305E1"/>
    <w:rsid w:val="00B356A4"/>
    <w:rsid w:val="00B44747"/>
    <w:rsid w:val="00B55B13"/>
    <w:rsid w:val="00B74474"/>
    <w:rsid w:val="00B74A67"/>
    <w:rsid w:val="00B8061A"/>
    <w:rsid w:val="00B918D6"/>
    <w:rsid w:val="00BB1640"/>
    <w:rsid w:val="00BC05BA"/>
    <w:rsid w:val="00BD6EBB"/>
    <w:rsid w:val="00BD7A45"/>
    <w:rsid w:val="00BE42AD"/>
    <w:rsid w:val="00BE5B72"/>
    <w:rsid w:val="00C03A70"/>
    <w:rsid w:val="00C25479"/>
    <w:rsid w:val="00C41668"/>
    <w:rsid w:val="00C4173B"/>
    <w:rsid w:val="00C62565"/>
    <w:rsid w:val="00C70903"/>
    <w:rsid w:val="00C7731C"/>
    <w:rsid w:val="00C87660"/>
    <w:rsid w:val="00C90EE0"/>
    <w:rsid w:val="00C925C7"/>
    <w:rsid w:val="00CA208D"/>
    <w:rsid w:val="00CB1961"/>
    <w:rsid w:val="00CB61B5"/>
    <w:rsid w:val="00CD5C58"/>
    <w:rsid w:val="00CF4428"/>
    <w:rsid w:val="00CF4930"/>
    <w:rsid w:val="00D00724"/>
    <w:rsid w:val="00D01570"/>
    <w:rsid w:val="00D06043"/>
    <w:rsid w:val="00D15130"/>
    <w:rsid w:val="00D1526B"/>
    <w:rsid w:val="00D3506E"/>
    <w:rsid w:val="00D44F60"/>
    <w:rsid w:val="00D54EB9"/>
    <w:rsid w:val="00D672BA"/>
    <w:rsid w:val="00D7488C"/>
    <w:rsid w:val="00D96B14"/>
    <w:rsid w:val="00DB04FC"/>
    <w:rsid w:val="00DD17DB"/>
    <w:rsid w:val="00DD4F32"/>
    <w:rsid w:val="00DE7918"/>
    <w:rsid w:val="00E00DD9"/>
    <w:rsid w:val="00E13E9F"/>
    <w:rsid w:val="00E32D79"/>
    <w:rsid w:val="00E411FF"/>
    <w:rsid w:val="00E4283F"/>
    <w:rsid w:val="00E479A8"/>
    <w:rsid w:val="00E80B17"/>
    <w:rsid w:val="00E87A53"/>
    <w:rsid w:val="00E9060E"/>
    <w:rsid w:val="00EA299D"/>
    <w:rsid w:val="00EA7E04"/>
    <w:rsid w:val="00EB122A"/>
    <w:rsid w:val="00ED76D6"/>
    <w:rsid w:val="00EE16F4"/>
    <w:rsid w:val="00EF4A38"/>
    <w:rsid w:val="00F13F6D"/>
    <w:rsid w:val="00F3134E"/>
    <w:rsid w:val="00F41D1A"/>
    <w:rsid w:val="00F41EF7"/>
    <w:rsid w:val="00F561EA"/>
    <w:rsid w:val="00F56EB2"/>
    <w:rsid w:val="00F6752D"/>
    <w:rsid w:val="00F73943"/>
    <w:rsid w:val="00F800EC"/>
    <w:rsid w:val="00F81ABD"/>
    <w:rsid w:val="00FA2BD1"/>
    <w:rsid w:val="00FC4B52"/>
    <w:rsid w:val="00FC5309"/>
    <w:rsid w:val="00FD0C96"/>
    <w:rsid w:val="00FD3939"/>
    <w:rsid w:val="00FE11B5"/>
    <w:rsid w:val="00FE4C24"/>
    <w:rsid w:val="00FF6E7D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04903-F50F-4663-B9D5-F893A261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Max Girin</cp:lastModifiedBy>
  <cp:revision>131</cp:revision>
  <dcterms:created xsi:type="dcterms:W3CDTF">2018-06-26T19:05:00Z</dcterms:created>
  <dcterms:modified xsi:type="dcterms:W3CDTF">2018-07-31T07:04:00Z</dcterms:modified>
</cp:coreProperties>
</file>