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10C538AF" w:rsidR="000269C3" w:rsidRDefault="000269C3" w:rsidP="00094E16">
      <w:pPr>
        <w:pStyle w:val="BodyText"/>
      </w:pPr>
      <w:r>
        <w:t xml:space="preserve">This document will detail guidelines and components that </w:t>
      </w:r>
      <w:r w:rsidR="005006A3">
        <w:t xml:space="preserve">facilitate </w:t>
      </w:r>
      <w:r>
        <w:t>the creati</w:t>
      </w:r>
      <w:r w:rsidR="00E53DEB">
        <w:t>on of an API logging philosophy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3" w:name="_Toc516653998"/>
      <w:bookmarkStart w:id="4" w:name="_Toc519773820"/>
      <w:r>
        <w:t>Logging Framework Used within Each API</w:t>
      </w:r>
      <w:bookmarkEnd w:id="3"/>
      <w:bookmarkEnd w:id="4"/>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5" w:name="_Toc519773821"/>
      <w:r>
        <w:t>Logging with Java supported API implementations</w:t>
      </w:r>
      <w:bookmarkEnd w:id="5"/>
    </w:p>
    <w:p w14:paraId="0E83EFCF" w14:textId="77777777" w:rsidR="000A3BDF" w:rsidRDefault="008110BB" w:rsidP="007576C8">
      <w:pPr>
        <w:pStyle w:val="BodyText"/>
      </w:pPr>
      <w:r w:rsidRPr="008110BB">
        <w:t>This article discusses the most popular java logging frameworks</w:t>
      </w:r>
      <w:r w:rsidR="00EF5C01">
        <w:t xml:space="preserve">: </w:t>
      </w:r>
    </w:p>
    <w:p w14:paraId="7D06BB11" w14:textId="77777777"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r w:rsidR="008110BB" w:rsidRPr="008110BB">
        <w:t xml:space="preserve">, </w:t>
      </w:r>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6" w:name="_Toc519773822"/>
      <w:r>
        <w:t>Simple Logging Facade for Java (SLF4J)</w:t>
      </w:r>
      <w:bookmarkEnd w:id="6"/>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proofErr w:type="gramStart"/>
      <w:r>
        <w:t>java.util</w:t>
      </w:r>
      <w:proofErr w:type="gramEnd"/>
      <w:r>
        <w:t>.logging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7" w:name="_Toc519773823"/>
      <w:r>
        <w:t xml:space="preserve">Subset of </w:t>
      </w:r>
      <w:r w:rsidRPr="004E2FCF">
        <w:t>Features</w:t>
      </w:r>
      <w:bookmarkEnd w:id="7"/>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applications</w:t>
      </w:r>
      <w:r w:rsidRPr="00FC096D">
        <w:t xml:space="preserve"> projects that have already made a choice of logging backend.</w:t>
      </w:r>
    </w:p>
    <w:p w14:paraId="44FC70FF" w14:textId="77777777" w:rsidR="00227D2D" w:rsidRDefault="00227D2D" w:rsidP="00D006FB">
      <w:pPr>
        <w:pStyle w:val="Heading3"/>
      </w:pPr>
      <w:bookmarkStart w:id="8" w:name="_Toc519773824"/>
      <w:r>
        <w:t>Apache Log4j 2</w:t>
      </w:r>
      <w:bookmarkEnd w:id="8"/>
    </w:p>
    <w:p w14:paraId="2A7F9387" w14:textId="3911817F" w:rsidR="00227D2D" w:rsidRDefault="00227D2D" w:rsidP="00526BC0">
      <w:pPr>
        <w:pStyle w:val="BodyText"/>
        <w:ind w:left="90"/>
      </w:pPr>
      <w:r>
        <w:t xml:space="preserve">Apache Log4j 2 is an upgrade to Log4j </w:t>
      </w:r>
      <w:r w:rsidR="00CC260F">
        <w:t>and</w:t>
      </w:r>
      <w:r>
        <w:t xml:space="preserve"> provides significant improvements over its predecessor</w:t>
      </w:r>
      <w:r w:rsidR="00CC260F">
        <w:t xml:space="preserve"> plus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9" w:name="_Toc519773825"/>
      <w:r>
        <w:t xml:space="preserve">Subset of </w:t>
      </w:r>
      <w:r w:rsidR="00227D2D" w:rsidRPr="004E2FCF">
        <w:t>Features</w:t>
      </w:r>
      <w:bookmarkEnd w:id="9"/>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10" w:name="_Toc519773826"/>
      <w:proofErr w:type="spellStart"/>
      <w:r w:rsidRPr="00D006FB">
        <w:t>Logback</w:t>
      </w:r>
      <w:bookmarkEnd w:id="10"/>
      <w:proofErr w:type="spellEnd"/>
    </w:p>
    <w:p w14:paraId="28FB3629" w14:textId="09D26DF4" w:rsidR="00227D2D" w:rsidRDefault="00A4709F" w:rsidP="007576C8">
      <w:pPr>
        <w:pStyle w:val="BodyText"/>
      </w:pPr>
      <w:proofErr w:type="spellStart"/>
      <w:r w:rsidRPr="00A4709F">
        <w:t>Logback</w:t>
      </w:r>
      <w:proofErr w:type="spellEnd"/>
      <w:r w:rsidRPr="00A4709F">
        <w:t xml:space="preserve"> is intended as a successor to the popular log4j project, picking up where log4j leaves off</w:t>
      </w:r>
      <w:r w:rsidR="00DC1463">
        <w:t xml:space="preserve"> and</w:t>
      </w:r>
      <w:r w:rsidR="000A3FBE" w:rsidRPr="000A3FBE">
        <w:t xml:space="preserve"> is conceptually very similar to log4j as both projects were </w:t>
      </w:r>
      <w:r w:rsidR="005F341B">
        <w:t>created</w:t>
      </w:r>
      <w:r w:rsidR="000A3FBE" w:rsidRPr="000A3FBE">
        <w:t xml:space="preserve"> by the same developer.</w:t>
      </w:r>
    </w:p>
    <w:p w14:paraId="565DCADF" w14:textId="106D3401" w:rsidR="005713AF" w:rsidRPr="004E2FCF" w:rsidRDefault="002212AD" w:rsidP="00D006FB">
      <w:pPr>
        <w:pStyle w:val="Heading4"/>
      </w:pPr>
      <w:bookmarkStart w:id="11" w:name="_Toc519773827"/>
      <w:r>
        <w:t xml:space="preserve">Subset of </w:t>
      </w:r>
      <w:r w:rsidR="005713AF" w:rsidRPr="004E2FCF">
        <w:t>Features</w:t>
      </w:r>
      <w:bookmarkEnd w:id="11"/>
    </w:p>
    <w:p w14:paraId="1D6EFB88" w14:textId="22BD04B1" w:rsidR="00227D2D" w:rsidRDefault="000A3FBE" w:rsidP="000A3FBE">
      <w:pPr>
        <w:pStyle w:val="BodyText"/>
        <w:numPr>
          <w:ilvl w:val="0"/>
          <w:numId w:val="42"/>
        </w:numPr>
      </w:pPr>
      <w:r w:rsidRPr="000A3FBE">
        <w:t>Faster implementation</w:t>
      </w:r>
    </w:p>
    <w:p w14:paraId="3F185692" w14:textId="3ED05A83"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faster on certain critical execution paths. Not only are </w:t>
      </w:r>
      <w:proofErr w:type="spellStart"/>
      <w:r w:rsidR="005F341B">
        <w:t>L</w:t>
      </w:r>
      <w:r w:rsidRPr="00DD0C19">
        <w:t>ogback</w:t>
      </w:r>
      <w:proofErr w:type="spellEnd"/>
      <w:r w:rsidRPr="00DD0C19">
        <w:t xml:space="preserve"> components faster, they have a smaller memory footprint as well.</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26E26B98"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r w:rsidR="00B8068A">
        <w:t>zero 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proofErr w:type="gramStart"/>
      <w:r w:rsidR="00B8068A">
        <w:t>java.util</w:t>
      </w:r>
      <w:proofErr w:type="gramEnd"/>
      <w:r w:rsidR="00B8068A">
        <w:t>.logging</w:t>
      </w:r>
      <w:proofErr w:type="spellEnd"/>
      <w:r w:rsidR="00262777">
        <w:t>.</w:t>
      </w:r>
    </w:p>
    <w:p w14:paraId="545E6FD1" w14:textId="03133BCA" w:rsidR="005F341B" w:rsidRPr="00D006FB" w:rsidRDefault="00F564DC" w:rsidP="005F341B">
      <w:pPr>
        <w:pStyle w:val="Heading3"/>
      </w:pPr>
      <w:bookmarkStart w:id="12" w:name="_Toc519773828"/>
      <w:proofErr w:type="spellStart"/>
      <w:proofErr w:type="gramStart"/>
      <w:r>
        <w:t>j</w:t>
      </w:r>
      <w:r w:rsidR="005F341B">
        <w:t>a</w:t>
      </w:r>
      <w:r w:rsidR="00982F38">
        <w:t>v</w:t>
      </w:r>
      <w:r w:rsidR="005F341B">
        <w:t>a.util</w:t>
      </w:r>
      <w:proofErr w:type="gramEnd"/>
      <w:r w:rsidR="005F341B">
        <w:t>.logging</w:t>
      </w:r>
      <w:proofErr w:type="spellEnd"/>
      <w:r w:rsidR="005F341B">
        <w:t xml:space="preserve"> (</w:t>
      </w:r>
      <w:proofErr w:type="spellStart"/>
      <w:r w:rsidR="00982F38">
        <w:t>jul</w:t>
      </w:r>
      <w:proofErr w:type="spellEnd"/>
      <w:r w:rsidR="00982F38">
        <w:t>)</w:t>
      </w:r>
      <w:bookmarkEnd w:id="12"/>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proofErr w:type="gramStart"/>
      <w:r w:rsidRPr="00982F38">
        <w:t>java.util</w:t>
      </w:r>
      <w:proofErr w:type="gramEnd"/>
      <w:r w:rsidRPr="00982F38">
        <w:t>.logging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13" w:name="_Toc519773829"/>
      <w:r>
        <w:t xml:space="preserve">Subset of </w:t>
      </w:r>
      <w:r w:rsidRPr="004E2FCF">
        <w:t>Features</w:t>
      </w:r>
      <w:bookmarkEnd w:id="13"/>
    </w:p>
    <w:p w14:paraId="38252799" w14:textId="42B5FC61" w:rsidR="00247337" w:rsidRDefault="00247337" w:rsidP="00094E16">
      <w:pPr>
        <w:pStyle w:val="BodyText"/>
      </w:pPr>
      <w:proofErr w:type="spellStart"/>
      <w:proofErr w:type="gramStart"/>
      <w:r w:rsidRPr="00982F38">
        <w:t>java.util</w:t>
      </w:r>
      <w:proofErr w:type="gramEnd"/>
      <w:r w:rsidRPr="00982F38">
        <w:t>.logging</w:t>
      </w:r>
      <w:proofErr w:type="spellEnd"/>
      <w:r>
        <w:t xml:space="preserve"> in included in the Java Runtime so third-party integration (i.e. jar files) is not required.</w:t>
      </w:r>
    </w:p>
    <w:p w14:paraId="29678C7B" w14:textId="03BD691E" w:rsidR="003D27F6" w:rsidRDefault="00253417" w:rsidP="00D7042A">
      <w:pPr>
        <w:pStyle w:val="Heading2"/>
      </w:pPr>
      <w:bookmarkStart w:id="14" w:name="_Toc519773830"/>
      <w:r>
        <w:t>Logging with .Net supported API implementations</w:t>
      </w:r>
      <w:bookmarkEnd w:id="14"/>
    </w:p>
    <w:p w14:paraId="14765D5F" w14:textId="7DF9EF35" w:rsidR="00EE3378" w:rsidRDefault="00F62678" w:rsidP="00D7042A">
      <w:pPr>
        <w:pStyle w:val="Heading3"/>
      </w:pPr>
      <w:bookmarkStart w:id="15" w:name="_Toc519773831"/>
      <w:r>
        <w:t>Overview</w:t>
      </w:r>
      <w:r w:rsidR="008A0559">
        <w:t xml:space="preserve"> of .NET </w:t>
      </w:r>
      <w:r>
        <w:t xml:space="preserve">Framework </w:t>
      </w:r>
      <w:r w:rsidR="008A0559">
        <w:t>and .NET Core</w:t>
      </w:r>
      <w:bookmarkEnd w:id="15"/>
    </w:p>
    <w:p w14:paraId="566C8DCF" w14:textId="77777777" w:rsidR="008110BB" w:rsidRDefault="008110BB" w:rsidP="008110BB">
      <w:pPr>
        <w:pStyle w:val="BodyText"/>
      </w:pPr>
      <w:r w:rsidRPr="002802C8">
        <w:t>.NET Core is essentially a fork of the NET Framework whose implementation is also optimized around factoring concerns</w:t>
      </w:r>
      <w:r>
        <w:t xml:space="preserve"> raised by the .NET framework siloed architecture. This section will focus on internal and external logging functionality supplied by .NET Core.</w:t>
      </w:r>
    </w:p>
    <w:p w14:paraId="38C1F089" w14:textId="49D48FE2"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16" w:name="_Toc519773832"/>
      <w:r w:rsidRPr="00D7042A">
        <w:lastRenderedPageBreak/>
        <w:t>.NET Core Logging Capabilities</w:t>
      </w:r>
      <w:bookmarkEnd w:id="16"/>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4155712C" w:rsidR="00B924E7" w:rsidRDefault="00B924E7" w:rsidP="00B924E7">
      <w:pPr>
        <w:pStyle w:val="BodyText"/>
      </w:pPr>
      <w:r>
        <w:t xml:space="preserve">.NET Core ships </w:t>
      </w:r>
      <w:r w:rsidR="00210F75">
        <w:t>with 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proofErr w:type="gramStart"/>
      <w:r w:rsidRPr="00406579">
        <w:rPr>
          <w:b/>
          <w:i/>
        </w:rPr>
        <w:t>Microsoft.Extensions.Logging.Console</w:t>
      </w:r>
      <w:proofErr w:type="spellEnd"/>
      <w:proofErr w:type="gram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proofErr w:type="gramStart"/>
      <w:r w:rsidRPr="00406579">
        <w:rPr>
          <w:b/>
          <w:i/>
        </w:rPr>
        <w:t>Microsoft.Extensions.Logging.Debug</w:t>
      </w:r>
      <w:proofErr w:type="spellEnd"/>
      <w:proofErr w:type="gram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proofErr w:type="gramStart"/>
      <w:r w:rsidRPr="00C64AE7">
        <w:rPr>
          <w:b/>
          <w:i/>
        </w:rPr>
        <w:t>Microsoft.Extensions.Logging.EventSource</w:t>
      </w:r>
      <w:proofErr w:type="spellEnd"/>
      <w:proofErr w:type="gram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proofErr w:type="gramStart"/>
      <w:r w:rsidRPr="001A699A">
        <w:t>Microsoft.Extensions.Logging.EventLog</w:t>
      </w:r>
      <w:proofErr w:type="spellEnd"/>
      <w:proofErr w:type="gram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proofErr w:type="gramStart"/>
      <w:r w:rsidRPr="001A699A">
        <w:rPr>
          <w:b/>
          <w:i/>
        </w:rPr>
        <w:t>Microsoft.Extensions.Logging.TraceSource</w:t>
      </w:r>
      <w:proofErr w:type="spellEnd"/>
      <w:proofErr w:type="gram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proofErr w:type="gramStart"/>
      <w:r w:rsidRPr="001A699A">
        <w:rPr>
          <w:b/>
          <w:i/>
        </w:rPr>
        <w:t>Microsoft.Extensions.Logging.AzureAppServices</w:t>
      </w:r>
      <w:proofErr w:type="spellEnd"/>
      <w:proofErr w:type="gram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17" w:name="_Toc516653999"/>
      <w:bookmarkStart w:id="18" w:name="_Toc519773833"/>
      <w:r>
        <w:t xml:space="preserve">JSON Format for </w:t>
      </w:r>
      <w:r w:rsidR="00041A14">
        <w:t>Logged API Messages</w:t>
      </w:r>
      <w:bookmarkEnd w:id="17"/>
      <w:bookmarkEnd w:id="18"/>
    </w:p>
    <w:p w14:paraId="08E9752D" w14:textId="3D9D856C" w:rsidR="00DC0433" w:rsidRDefault="00DC0433" w:rsidP="00DC0433">
      <w:pPr>
        <w:pStyle w:val="BodyText"/>
      </w:pPr>
      <w:r w:rsidRPr="00916644">
        <w:t>This section detail</w:t>
      </w:r>
      <w:r>
        <w:t xml:space="preserve">s 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19" w:name="_Toc518056011"/>
      <w:bookmarkStart w:id="20" w:name="_Toc519773834"/>
      <w:r>
        <w:t>API</w:t>
      </w:r>
      <w:r w:rsidR="00D43889">
        <w:t xml:space="preserve"> Logging Model</w:t>
      </w:r>
      <w:bookmarkEnd w:id="19"/>
      <w:bookmarkEnd w:id="20"/>
    </w:p>
    <w:p w14:paraId="3A68E672" w14:textId="5AA930C2" w:rsidR="00D43889" w:rsidRDefault="00D43889" w:rsidP="00D43889">
      <w:pPr>
        <w:pStyle w:val="Caption"/>
        <w:rPr>
          <w:rFonts w:eastAsia="ヒラギノ角ゴ Pro W3"/>
          <w:noProof/>
          <w:color w:val="000000"/>
        </w:rPr>
      </w:pPr>
      <w:bookmarkStart w:id="21" w:name="_Toc518056025"/>
      <w:bookmarkStart w:id="22" w:name="_Ref519594808"/>
      <w:bookmarkStart w:id="23" w:name="_Toc519773843"/>
      <w:r>
        <w:lastRenderedPageBreak/>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21"/>
      <w:bookmarkEnd w:id="22"/>
      <w:bookmarkEnd w:id="23"/>
    </w:p>
    <w:p w14:paraId="66C2B702" w14:textId="1D30D42D"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r>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42.9pt" o:ole="">
            <v:imagedata r:id="rId11" o:title=""/>
          </v:shape>
          <o:OLEObject Type="Embed" ProgID="Visio.Drawing.11" ShapeID="_x0000_i1025" DrawAspect="Content" ObjectID="_1598533984" r:id="rId12"/>
        </w:object>
      </w:r>
    </w:p>
    <w:p w14:paraId="04D9D1A1" w14:textId="2C036B5D" w:rsidR="00D43889" w:rsidRPr="00BA6522" w:rsidRDefault="00D43889" w:rsidP="00D43889">
      <w:pPr>
        <w:pStyle w:val="Caption"/>
      </w:pPr>
      <w:bookmarkStart w:id="24" w:name="_Toc518056019"/>
      <w:bookmarkStart w:id="25" w:name="_Toc519773841"/>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24"/>
      <w:bookmarkEnd w:id="25"/>
    </w:p>
    <w:tbl>
      <w:tblPr>
        <w:tblpPr w:leftFromText="180" w:rightFromText="180" w:vertAnchor="text" w:tblpXSpec="right" w:tblpY="1"/>
        <w:tblOverlap w:val="neve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170"/>
        <w:gridCol w:w="1260"/>
        <w:gridCol w:w="1800"/>
        <w:gridCol w:w="3731"/>
      </w:tblGrid>
      <w:tr w:rsidR="00D43889" w:rsidRPr="00B87380" w14:paraId="3DC7DD2D" w14:textId="77777777" w:rsidTr="00FD4C4F">
        <w:trPr>
          <w:tblHeader/>
        </w:trPr>
        <w:tc>
          <w:tcPr>
            <w:tcW w:w="179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117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26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180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3731"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FD4C4F">
        <w:tc>
          <w:tcPr>
            <w:tcW w:w="179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1170" w:type="dxa"/>
          </w:tcPr>
          <w:p w14:paraId="4EA68B4A" w14:textId="77777777" w:rsidR="00D43889" w:rsidRDefault="00D43889" w:rsidP="005E06C1">
            <w:r>
              <w:t>String</w:t>
            </w:r>
          </w:p>
        </w:tc>
        <w:tc>
          <w:tcPr>
            <w:tcW w:w="1260" w:type="dxa"/>
          </w:tcPr>
          <w:p w14:paraId="663A63F5" w14:textId="77777777" w:rsidR="00D43889" w:rsidRDefault="00D43889" w:rsidP="001C105E">
            <w:r>
              <w:t>Yes</w:t>
            </w:r>
          </w:p>
        </w:tc>
        <w:tc>
          <w:tcPr>
            <w:tcW w:w="1800" w:type="dxa"/>
            <w:shd w:val="clear" w:color="auto" w:fill="auto"/>
          </w:tcPr>
          <w:p w14:paraId="6919922E" w14:textId="77777777" w:rsidR="00D43889" w:rsidRDefault="00D43889" w:rsidP="005E06C1">
            <w:r w:rsidRPr="002D497C">
              <w:t>a20014d3e17ff4fcb578-b7a6-41f9-b974-cef684d5ec62</w:t>
            </w:r>
          </w:p>
        </w:tc>
        <w:tc>
          <w:tcPr>
            <w:tcW w:w="3731"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FD4C4F">
        <w:tc>
          <w:tcPr>
            <w:tcW w:w="1795" w:type="dxa"/>
          </w:tcPr>
          <w:p w14:paraId="6D8836F6" w14:textId="6A205459" w:rsidR="00D43889" w:rsidRPr="00604756" w:rsidRDefault="00401A4B" w:rsidP="005E06C1">
            <w:r>
              <w:t>co</w:t>
            </w:r>
            <w:r w:rsidR="00D43889" w:rsidRPr="00604756">
              <w:t>de</w:t>
            </w:r>
          </w:p>
        </w:tc>
        <w:tc>
          <w:tcPr>
            <w:tcW w:w="1170" w:type="dxa"/>
          </w:tcPr>
          <w:p w14:paraId="1DB16911" w14:textId="77777777" w:rsidR="00D43889" w:rsidRPr="00EC12C1" w:rsidRDefault="00D43889" w:rsidP="005E06C1">
            <w:r>
              <w:t>int</w:t>
            </w:r>
          </w:p>
        </w:tc>
        <w:tc>
          <w:tcPr>
            <w:tcW w:w="1260" w:type="dxa"/>
          </w:tcPr>
          <w:p w14:paraId="3A1861A8" w14:textId="77777777" w:rsidR="00D43889" w:rsidRDefault="00D43889" w:rsidP="001C105E">
            <w:r>
              <w:t>Yes</w:t>
            </w:r>
          </w:p>
        </w:tc>
        <w:tc>
          <w:tcPr>
            <w:tcW w:w="1800" w:type="dxa"/>
            <w:shd w:val="clear" w:color="auto" w:fill="auto"/>
          </w:tcPr>
          <w:p w14:paraId="54673183" w14:textId="00935CFB" w:rsidR="00D43889" w:rsidRPr="00EC12C1" w:rsidRDefault="0038007A" w:rsidP="005E06C1">
            <w:r>
              <w:t>404</w:t>
            </w:r>
          </w:p>
        </w:tc>
        <w:tc>
          <w:tcPr>
            <w:tcW w:w="3731" w:type="dxa"/>
            <w:shd w:val="clear" w:color="auto" w:fill="auto"/>
          </w:tcPr>
          <w:p w14:paraId="15E3535F" w14:textId="254F722C" w:rsidR="00D43889" w:rsidRPr="00EC12C1" w:rsidRDefault="0093719F" w:rsidP="005E06C1">
            <w:pPr>
              <w:rPr>
                <w:rFonts w:ascii="Calibri" w:hAnsi="Calibri" w:cs="Arial"/>
              </w:rPr>
            </w:pPr>
            <w:r>
              <w:t xml:space="preserve">A descriptor of the fault </w:t>
            </w:r>
            <w:proofErr w:type="gramStart"/>
            <w:r>
              <w:t>condition, and</w:t>
            </w:r>
            <w:proofErr w:type="gramEnd"/>
            <w:r>
              <w:t xml:space="preserve"> generated by the service. It could be an application generated error code or it could map to the HTTP Response Code.</w:t>
            </w:r>
          </w:p>
        </w:tc>
      </w:tr>
      <w:tr w:rsidR="00E14B95" w:rsidRPr="00EC12C1" w14:paraId="6CDFAF46" w14:textId="77777777" w:rsidTr="00FD4C4F">
        <w:tc>
          <w:tcPr>
            <w:tcW w:w="1795" w:type="dxa"/>
          </w:tcPr>
          <w:p w14:paraId="65FC0547" w14:textId="2B6087E1" w:rsidR="00E14B95" w:rsidRPr="00604756" w:rsidRDefault="00401A4B" w:rsidP="00E14B95">
            <w:r>
              <w:t>t</w:t>
            </w:r>
            <w:r w:rsidR="00E14B95" w:rsidRPr="00604756">
              <w:t>xt</w:t>
            </w:r>
          </w:p>
        </w:tc>
        <w:tc>
          <w:tcPr>
            <w:tcW w:w="1170" w:type="dxa"/>
          </w:tcPr>
          <w:p w14:paraId="1063535B" w14:textId="77777777" w:rsidR="00E14B95" w:rsidRDefault="00E14B95" w:rsidP="00E14B95">
            <w:r>
              <w:t>String</w:t>
            </w:r>
          </w:p>
        </w:tc>
        <w:tc>
          <w:tcPr>
            <w:tcW w:w="1260" w:type="dxa"/>
          </w:tcPr>
          <w:p w14:paraId="4D818660" w14:textId="77777777" w:rsidR="00E14B95" w:rsidRDefault="00E14B95" w:rsidP="001C105E">
            <w:r>
              <w:t>Yes</w:t>
            </w:r>
          </w:p>
        </w:tc>
        <w:tc>
          <w:tcPr>
            <w:tcW w:w="1800" w:type="dxa"/>
            <w:shd w:val="clear" w:color="auto" w:fill="auto"/>
          </w:tcPr>
          <w:p w14:paraId="7D0CF32D" w14:textId="1FC09555" w:rsidR="00E14B95" w:rsidRPr="00EC12C1" w:rsidRDefault="0038007A" w:rsidP="00E14B95">
            <w:r>
              <w:t>Service Not Found</w:t>
            </w:r>
          </w:p>
        </w:tc>
        <w:tc>
          <w:tcPr>
            <w:tcW w:w="3731" w:type="dxa"/>
            <w:shd w:val="clear" w:color="auto" w:fill="auto"/>
          </w:tcPr>
          <w:p w14:paraId="74DA1189" w14:textId="61BDB3D6" w:rsidR="00E14B95" w:rsidRPr="00EC12C1" w:rsidRDefault="00E14B95" w:rsidP="00E14B95">
            <w:pPr>
              <w:rPr>
                <w:rFonts w:ascii="Calibri" w:hAnsi="Calibri" w:cs="Arial"/>
              </w:rPr>
            </w:pPr>
            <w:r>
              <w:t xml:space="preserve">A technical textual description of the fault </w:t>
            </w:r>
            <w:proofErr w:type="gramStart"/>
            <w:r>
              <w:t>condition, and</w:t>
            </w:r>
            <w:proofErr w:type="gramEnd"/>
            <w:r>
              <w:t xml:space="preserve"> generated by the service.</w:t>
            </w:r>
          </w:p>
        </w:tc>
      </w:tr>
      <w:tr w:rsidR="0020352C" w:rsidRPr="00EC12C1" w14:paraId="30BDEF3C" w14:textId="77777777" w:rsidTr="00FD4C4F">
        <w:tc>
          <w:tcPr>
            <w:tcW w:w="1795" w:type="dxa"/>
          </w:tcPr>
          <w:p w14:paraId="297689BD" w14:textId="681C91C6" w:rsidR="0020352C" w:rsidRPr="00604756" w:rsidRDefault="0020352C" w:rsidP="0020352C">
            <w:proofErr w:type="spellStart"/>
            <w:r>
              <w:t>api</w:t>
            </w:r>
            <w:r w:rsidRPr="00604756">
              <w:t>Text</w:t>
            </w:r>
            <w:proofErr w:type="spellEnd"/>
          </w:p>
        </w:tc>
        <w:tc>
          <w:tcPr>
            <w:tcW w:w="1170" w:type="dxa"/>
          </w:tcPr>
          <w:p w14:paraId="438EE177" w14:textId="77777777" w:rsidR="0020352C" w:rsidRDefault="0020352C" w:rsidP="0020352C">
            <w:r>
              <w:t>String</w:t>
            </w:r>
          </w:p>
        </w:tc>
        <w:tc>
          <w:tcPr>
            <w:tcW w:w="1260" w:type="dxa"/>
          </w:tcPr>
          <w:p w14:paraId="5B6C68D9" w14:textId="77777777" w:rsidR="0020352C" w:rsidRDefault="0020352C" w:rsidP="001C105E">
            <w:r>
              <w:t>No</w:t>
            </w:r>
          </w:p>
        </w:tc>
        <w:tc>
          <w:tcPr>
            <w:tcW w:w="1800" w:type="dxa"/>
            <w:shd w:val="clear" w:color="auto" w:fill="auto"/>
          </w:tcPr>
          <w:p w14:paraId="68FF25C5" w14:textId="0014F75B" w:rsidR="0020352C" w:rsidRDefault="003B1C4D" w:rsidP="0020352C">
            <w:r>
              <w:t>Requested service not found. Validate invocation URL.</w:t>
            </w:r>
          </w:p>
        </w:tc>
        <w:tc>
          <w:tcPr>
            <w:tcW w:w="3731"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FD4C4F">
        <w:tc>
          <w:tcPr>
            <w:tcW w:w="1795" w:type="dxa"/>
          </w:tcPr>
          <w:p w14:paraId="6DE9CA91" w14:textId="77777777" w:rsidR="0020352C" w:rsidRPr="00604756" w:rsidRDefault="0020352C" w:rsidP="0020352C">
            <w:r w:rsidRPr="00604756">
              <w:t>severity</w:t>
            </w:r>
          </w:p>
        </w:tc>
        <w:tc>
          <w:tcPr>
            <w:tcW w:w="1170" w:type="dxa"/>
          </w:tcPr>
          <w:p w14:paraId="3D0D0C3F" w14:textId="77777777" w:rsidR="0020352C" w:rsidRPr="00EC12C1" w:rsidRDefault="0020352C" w:rsidP="0020352C">
            <w:r>
              <w:t>String</w:t>
            </w:r>
          </w:p>
        </w:tc>
        <w:tc>
          <w:tcPr>
            <w:tcW w:w="1260" w:type="dxa"/>
          </w:tcPr>
          <w:p w14:paraId="389B9232" w14:textId="77777777" w:rsidR="0020352C" w:rsidRDefault="0020352C" w:rsidP="001C105E">
            <w:r>
              <w:t>Yes</w:t>
            </w:r>
          </w:p>
        </w:tc>
        <w:tc>
          <w:tcPr>
            <w:tcW w:w="1800" w:type="dxa"/>
            <w:shd w:val="clear" w:color="auto" w:fill="auto"/>
          </w:tcPr>
          <w:p w14:paraId="434462AD" w14:textId="77777777" w:rsidR="0020352C" w:rsidRPr="00EC12C1" w:rsidRDefault="0020352C" w:rsidP="0020352C">
            <w:r>
              <w:t>Error</w:t>
            </w:r>
          </w:p>
        </w:tc>
        <w:tc>
          <w:tcPr>
            <w:tcW w:w="3731"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w:t>
            </w:r>
            <w:r>
              <w:lastRenderedPageBreak/>
              <w:t>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w:t>
            </w:r>
            <w:proofErr w:type="gramStart"/>
            <w:r>
              <w:t>fault, but</w:t>
            </w:r>
            <w:proofErr w:type="gramEnd"/>
            <w:r>
              <w:t xml:space="preserve">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FD4C4F">
        <w:tc>
          <w:tcPr>
            <w:tcW w:w="1795" w:type="dxa"/>
          </w:tcPr>
          <w:p w14:paraId="5DFF9600" w14:textId="34DB1C0E" w:rsidR="00BE2EB2" w:rsidRPr="00604756" w:rsidRDefault="00BE2EB2" w:rsidP="00BE2EB2">
            <w:proofErr w:type="spellStart"/>
            <w:r w:rsidRPr="00604756">
              <w:lastRenderedPageBreak/>
              <w:t>nestedFault</w:t>
            </w:r>
            <w:proofErr w:type="spellEnd"/>
          </w:p>
        </w:tc>
        <w:tc>
          <w:tcPr>
            <w:tcW w:w="1170" w:type="dxa"/>
          </w:tcPr>
          <w:p w14:paraId="312A68ED" w14:textId="54D005C0" w:rsidR="00BE2EB2" w:rsidRDefault="00BE2EB2" w:rsidP="00BE2EB2">
            <w:proofErr w:type="spellStart"/>
            <w:r>
              <w:t>APIFault</w:t>
            </w:r>
            <w:proofErr w:type="spellEnd"/>
          </w:p>
        </w:tc>
        <w:tc>
          <w:tcPr>
            <w:tcW w:w="1260" w:type="dxa"/>
          </w:tcPr>
          <w:p w14:paraId="4308074B" w14:textId="4B796739" w:rsidR="00BE2EB2" w:rsidRDefault="00BE2EB2" w:rsidP="00BE2EB2">
            <w:r>
              <w:t>No</w:t>
            </w:r>
          </w:p>
        </w:tc>
        <w:tc>
          <w:tcPr>
            <w:tcW w:w="1800" w:type="dxa"/>
            <w:shd w:val="clear" w:color="auto" w:fill="auto"/>
          </w:tcPr>
          <w:p w14:paraId="260C8EC1" w14:textId="77777777" w:rsidR="00BE2EB2" w:rsidRDefault="00BE2EB2" w:rsidP="00BE2EB2"/>
        </w:tc>
        <w:tc>
          <w:tcPr>
            <w:tcW w:w="3731"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FD4C4F">
        <w:tc>
          <w:tcPr>
            <w:tcW w:w="1795" w:type="dxa"/>
          </w:tcPr>
          <w:p w14:paraId="45D79ACC" w14:textId="77777777" w:rsidR="00BE2EB2" w:rsidRPr="00604756" w:rsidRDefault="00BE2EB2" w:rsidP="00BE2EB2">
            <w:r w:rsidRPr="00604756">
              <w:t>timestamp</w:t>
            </w:r>
          </w:p>
        </w:tc>
        <w:tc>
          <w:tcPr>
            <w:tcW w:w="1170" w:type="dxa"/>
          </w:tcPr>
          <w:p w14:paraId="7B5A533B" w14:textId="1E5B07A5" w:rsidR="00BE2EB2" w:rsidRDefault="00BE2EB2" w:rsidP="00BE2EB2">
            <w:r>
              <w:t>Time stamp</w:t>
            </w:r>
          </w:p>
        </w:tc>
        <w:tc>
          <w:tcPr>
            <w:tcW w:w="1260" w:type="dxa"/>
          </w:tcPr>
          <w:p w14:paraId="5337F771" w14:textId="77777777" w:rsidR="00BE2EB2" w:rsidRDefault="00BE2EB2" w:rsidP="00BE2EB2">
            <w:r>
              <w:t>Yes</w:t>
            </w:r>
          </w:p>
        </w:tc>
        <w:tc>
          <w:tcPr>
            <w:tcW w:w="1800" w:type="dxa"/>
            <w:shd w:val="clear" w:color="auto" w:fill="auto"/>
          </w:tcPr>
          <w:p w14:paraId="251C9161" w14:textId="2C5F7367" w:rsidR="00BE2EB2" w:rsidRPr="00EC12C1" w:rsidRDefault="00BE2EB2" w:rsidP="00BE2EB2">
            <w:r w:rsidRPr="002D497C">
              <w:t>201</w:t>
            </w:r>
            <w:r>
              <w:t>8</w:t>
            </w:r>
            <w:r w:rsidRPr="002D497C">
              <w:t>05-05T08:15:30-05:00</w:t>
            </w:r>
          </w:p>
        </w:tc>
        <w:tc>
          <w:tcPr>
            <w:tcW w:w="3731"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FD4C4F">
        <w:tc>
          <w:tcPr>
            <w:tcW w:w="179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1170" w:type="dxa"/>
          </w:tcPr>
          <w:p w14:paraId="1A7C8A3F" w14:textId="77777777" w:rsidR="00BE2EB2" w:rsidRDefault="00BE2EB2" w:rsidP="00BE2EB2">
            <w:r>
              <w:t>String</w:t>
            </w:r>
          </w:p>
        </w:tc>
        <w:tc>
          <w:tcPr>
            <w:tcW w:w="1260" w:type="dxa"/>
          </w:tcPr>
          <w:p w14:paraId="36D04550" w14:textId="77777777" w:rsidR="00BE2EB2" w:rsidRDefault="00BE2EB2" w:rsidP="00BE2EB2">
            <w:r>
              <w:t>Yes</w:t>
            </w:r>
          </w:p>
        </w:tc>
        <w:tc>
          <w:tcPr>
            <w:tcW w:w="1800" w:type="dxa"/>
            <w:shd w:val="clear" w:color="auto" w:fill="auto"/>
          </w:tcPr>
          <w:p w14:paraId="6EFFF144" w14:textId="664331D8" w:rsidR="00BE2EB2" w:rsidRPr="00EC12C1" w:rsidRDefault="00BE2EB2" w:rsidP="00BE2EB2">
            <w:bookmarkStart w:id="26" w:name="_Hlk522882150"/>
            <w:r>
              <w:t>Vet360 Veteran Address Lookup</w:t>
            </w:r>
            <w:bookmarkEnd w:id="26"/>
          </w:p>
        </w:tc>
        <w:tc>
          <w:tcPr>
            <w:tcW w:w="3731"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FD4C4F">
        <w:tc>
          <w:tcPr>
            <w:tcW w:w="179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1170" w:type="dxa"/>
          </w:tcPr>
          <w:p w14:paraId="2016AF43" w14:textId="77777777" w:rsidR="00BE2EB2" w:rsidRDefault="00BE2EB2" w:rsidP="00BE2EB2">
            <w:r>
              <w:t>String</w:t>
            </w:r>
          </w:p>
        </w:tc>
        <w:tc>
          <w:tcPr>
            <w:tcW w:w="1260" w:type="dxa"/>
          </w:tcPr>
          <w:p w14:paraId="214E6FB0" w14:textId="77777777" w:rsidR="00BE2EB2" w:rsidRDefault="00BE2EB2" w:rsidP="00BE2EB2">
            <w:r>
              <w:t>Yes</w:t>
            </w:r>
          </w:p>
        </w:tc>
        <w:tc>
          <w:tcPr>
            <w:tcW w:w="1800" w:type="dxa"/>
            <w:shd w:val="clear" w:color="auto" w:fill="auto"/>
          </w:tcPr>
          <w:p w14:paraId="591F7E50" w14:textId="75AE337C" w:rsidR="00BE2EB2" w:rsidRPr="00EC12C1" w:rsidRDefault="00BE2EB2" w:rsidP="00BE2EB2">
            <w:r>
              <w:t>https://dev-exp-vet360.va.gov:8081/api/v1/veteranportal/address</w:t>
            </w:r>
          </w:p>
        </w:tc>
        <w:tc>
          <w:tcPr>
            <w:tcW w:w="3731"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FD4C4F">
        <w:tc>
          <w:tcPr>
            <w:tcW w:w="1795" w:type="dxa"/>
          </w:tcPr>
          <w:p w14:paraId="344A6C0F" w14:textId="0CBADD06" w:rsidR="00BE2EB2" w:rsidRPr="00604756" w:rsidRDefault="00BE2EB2" w:rsidP="00BE2EB2">
            <w:proofErr w:type="spellStart"/>
            <w:r w:rsidRPr="00604756">
              <w:t>userI</w:t>
            </w:r>
            <w:r>
              <w:t>d</w:t>
            </w:r>
            <w:proofErr w:type="spellEnd"/>
          </w:p>
        </w:tc>
        <w:tc>
          <w:tcPr>
            <w:tcW w:w="1170" w:type="dxa"/>
          </w:tcPr>
          <w:p w14:paraId="262045C8" w14:textId="77BDE965" w:rsidR="00BE2EB2" w:rsidRDefault="00BE2EB2" w:rsidP="00BE2EB2">
            <w:r>
              <w:t>String</w:t>
            </w:r>
          </w:p>
        </w:tc>
        <w:tc>
          <w:tcPr>
            <w:tcW w:w="1260" w:type="dxa"/>
          </w:tcPr>
          <w:p w14:paraId="3F21C453" w14:textId="4BAFCD10" w:rsidR="00BE2EB2" w:rsidRDefault="00BE2EB2" w:rsidP="00BE2EB2">
            <w:r>
              <w:t>Yes</w:t>
            </w:r>
          </w:p>
        </w:tc>
        <w:tc>
          <w:tcPr>
            <w:tcW w:w="1800" w:type="dxa"/>
            <w:shd w:val="clear" w:color="auto" w:fill="auto"/>
          </w:tcPr>
          <w:p w14:paraId="0D75869D" w14:textId="325AC4F1" w:rsidR="00BE2EB2" w:rsidRDefault="00BE2EB2" w:rsidP="00BE2EB2">
            <w:r w:rsidRPr="002801B2">
              <w:t>CN=</w:t>
            </w:r>
            <w:r>
              <w:t>Test</w:t>
            </w:r>
            <w:r w:rsidRPr="002801B2">
              <w:t xml:space="preserve"> </w:t>
            </w:r>
            <w:r>
              <w:t>User …</w:t>
            </w:r>
          </w:p>
        </w:tc>
        <w:tc>
          <w:tcPr>
            <w:tcW w:w="3731"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FD4C4F">
        <w:tc>
          <w:tcPr>
            <w:tcW w:w="1795" w:type="dxa"/>
          </w:tcPr>
          <w:p w14:paraId="302AEB1E" w14:textId="3EC194EB" w:rsidR="00BE2EB2" w:rsidRPr="00604756" w:rsidRDefault="00BE2EB2" w:rsidP="00BE2EB2">
            <w:proofErr w:type="spellStart"/>
            <w:r w:rsidRPr="00604756">
              <w:t>subjectI</w:t>
            </w:r>
            <w:r>
              <w:t>d</w:t>
            </w:r>
            <w:proofErr w:type="spellEnd"/>
          </w:p>
        </w:tc>
        <w:tc>
          <w:tcPr>
            <w:tcW w:w="1170" w:type="dxa"/>
          </w:tcPr>
          <w:p w14:paraId="798AB03E" w14:textId="237AD1C4" w:rsidR="00BE2EB2" w:rsidRDefault="00BE2EB2" w:rsidP="00BE2EB2">
            <w:r>
              <w:t>String</w:t>
            </w:r>
          </w:p>
        </w:tc>
        <w:tc>
          <w:tcPr>
            <w:tcW w:w="1260" w:type="dxa"/>
          </w:tcPr>
          <w:p w14:paraId="58982C43" w14:textId="44D58121" w:rsidR="00BE2EB2" w:rsidRDefault="00BE2EB2" w:rsidP="00BE2EB2">
            <w:r>
              <w:t>Yes</w:t>
            </w:r>
          </w:p>
        </w:tc>
        <w:tc>
          <w:tcPr>
            <w:tcW w:w="180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3731"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FD4C4F">
        <w:tc>
          <w:tcPr>
            <w:tcW w:w="1795" w:type="dxa"/>
          </w:tcPr>
          <w:p w14:paraId="1942FC5B" w14:textId="77777777" w:rsidR="00BE2EB2" w:rsidRPr="00604756" w:rsidRDefault="00BE2EB2" w:rsidP="00BE2EB2">
            <w:proofErr w:type="spellStart"/>
            <w:r w:rsidRPr="00604756">
              <w:t>hostName</w:t>
            </w:r>
            <w:proofErr w:type="spellEnd"/>
          </w:p>
        </w:tc>
        <w:tc>
          <w:tcPr>
            <w:tcW w:w="1170" w:type="dxa"/>
          </w:tcPr>
          <w:p w14:paraId="39D7EFF2" w14:textId="77777777" w:rsidR="00BE2EB2" w:rsidRDefault="00BE2EB2" w:rsidP="00BE2EB2">
            <w:r>
              <w:t>String</w:t>
            </w:r>
          </w:p>
        </w:tc>
        <w:tc>
          <w:tcPr>
            <w:tcW w:w="1260" w:type="dxa"/>
          </w:tcPr>
          <w:p w14:paraId="2C1CFC4B" w14:textId="77777777" w:rsidR="00BE2EB2" w:rsidRDefault="00BE2EB2" w:rsidP="00BE2EB2">
            <w:r>
              <w:t>No</w:t>
            </w:r>
          </w:p>
        </w:tc>
        <w:tc>
          <w:tcPr>
            <w:tcW w:w="1800" w:type="dxa"/>
            <w:shd w:val="clear" w:color="auto" w:fill="auto"/>
          </w:tcPr>
          <w:p w14:paraId="6F0799DE" w14:textId="77777777" w:rsidR="00BE2EB2" w:rsidRDefault="00BE2EB2" w:rsidP="00BE2EB2">
            <w:r w:rsidRPr="001E7790">
              <w:t>vaaacmhvapp12</w:t>
            </w:r>
          </w:p>
        </w:tc>
        <w:tc>
          <w:tcPr>
            <w:tcW w:w="3731"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FD4C4F">
        <w:tc>
          <w:tcPr>
            <w:tcW w:w="1795" w:type="dxa"/>
          </w:tcPr>
          <w:p w14:paraId="5636F1F6" w14:textId="77777777" w:rsidR="00BE2EB2" w:rsidRPr="00604756" w:rsidRDefault="00BE2EB2" w:rsidP="00BE2EB2">
            <w:proofErr w:type="spellStart"/>
            <w:r w:rsidRPr="00604756">
              <w:lastRenderedPageBreak/>
              <w:t>hostIP</w:t>
            </w:r>
            <w:proofErr w:type="spellEnd"/>
          </w:p>
        </w:tc>
        <w:tc>
          <w:tcPr>
            <w:tcW w:w="1170" w:type="dxa"/>
          </w:tcPr>
          <w:p w14:paraId="14ED3D2A" w14:textId="77777777" w:rsidR="00BE2EB2" w:rsidRDefault="00BE2EB2" w:rsidP="00BE2EB2">
            <w:r>
              <w:t>String</w:t>
            </w:r>
          </w:p>
        </w:tc>
        <w:tc>
          <w:tcPr>
            <w:tcW w:w="1260" w:type="dxa"/>
          </w:tcPr>
          <w:p w14:paraId="6C504314" w14:textId="77777777" w:rsidR="00BE2EB2" w:rsidRDefault="00BE2EB2" w:rsidP="00BE2EB2">
            <w:r>
              <w:t>No</w:t>
            </w:r>
          </w:p>
        </w:tc>
        <w:tc>
          <w:tcPr>
            <w:tcW w:w="1800" w:type="dxa"/>
            <w:shd w:val="clear" w:color="auto" w:fill="auto"/>
          </w:tcPr>
          <w:p w14:paraId="5E2A59C3" w14:textId="77777777" w:rsidR="00BE2EB2" w:rsidRDefault="00BE2EB2" w:rsidP="00BE2EB2">
            <w:r w:rsidRPr="002801B2">
              <w:t>101.34.28.134</w:t>
            </w:r>
          </w:p>
        </w:tc>
        <w:tc>
          <w:tcPr>
            <w:tcW w:w="3731" w:type="dxa"/>
            <w:shd w:val="clear" w:color="auto" w:fill="auto"/>
          </w:tcPr>
          <w:p w14:paraId="19C285A7" w14:textId="77777777" w:rsidR="00BE2EB2" w:rsidRDefault="00BE2EB2" w:rsidP="00BE2EB2">
            <w:r>
              <w:t>IP address of the individual host.</w:t>
            </w:r>
          </w:p>
        </w:tc>
      </w:tr>
      <w:tr w:rsidR="00BE2EB2" w:rsidRPr="00EC12C1" w14:paraId="1304775C" w14:textId="77777777" w:rsidTr="00FD4C4F">
        <w:tc>
          <w:tcPr>
            <w:tcW w:w="1795" w:type="dxa"/>
          </w:tcPr>
          <w:p w14:paraId="3DE973EB" w14:textId="77777777" w:rsidR="00BE2EB2" w:rsidRPr="00604756" w:rsidRDefault="00BE2EB2" w:rsidP="00BE2EB2">
            <w:proofErr w:type="spellStart"/>
            <w:r w:rsidRPr="00604756">
              <w:t>businessDomain</w:t>
            </w:r>
            <w:proofErr w:type="spellEnd"/>
          </w:p>
        </w:tc>
        <w:tc>
          <w:tcPr>
            <w:tcW w:w="1170" w:type="dxa"/>
          </w:tcPr>
          <w:p w14:paraId="4010C301" w14:textId="77777777" w:rsidR="00BE2EB2" w:rsidRDefault="00BE2EB2" w:rsidP="00BE2EB2">
            <w:r>
              <w:t>String</w:t>
            </w:r>
          </w:p>
        </w:tc>
        <w:tc>
          <w:tcPr>
            <w:tcW w:w="1260" w:type="dxa"/>
          </w:tcPr>
          <w:p w14:paraId="5E15E5E3" w14:textId="77777777" w:rsidR="00BE2EB2" w:rsidRDefault="00BE2EB2" w:rsidP="00BE2EB2">
            <w:r>
              <w:t>No</w:t>
            </w:r>
          </w:p>
        </w:tc>
        <w:tc>
          <w:tcPr>
            <w:tcW w:w="1800" w:type="dxa"/>
            <w:shd w:val="clear" w:color="auto" w:fill="auto"/>
          </w:tcPr>
          <w:p w14:paraId="09211E38" w14:textId="3A38A94E" w:rsidR="00BE2EB2" w:rsidRDefault="00BE2EB2" w:rsidP="00BE2EB2">
            <w:r>
              <w:t>Vet360 Veteran Address Lookup</w:t>
            </w:r>
          </w:p>
        </w:tc>
        <w:tc>
          <w:tcPr>
            <w:tcW w:w="3731" w:type="dxa"/>
            <w:shd w:val="clear" w:color="auto" w:fill="auto"/>
          </w:tcPr>
          <w:p w14:paraId="5690FB45" w14:textId="77777777" w:rsidR="00BE2EB2" w:rsidRDefault="00BE2EB2" w:rsidP="00BE2EB2">
            <w:r>
              <w:t>Name of the business domain</w:t>
            </w:r>
          </w:p>
        </w:tc>
      </w:tr>
      <w:tr w:rsidR="00BE2EB2" w:rsidRPr="00EC12C1" w14:paraId="5237EDFF" w14:textId="77777777" w:rsidTr="00FD4C4F">
        <w:tc>
          <w:tcPr>
            <w:tcW w:w="179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1170" w:type="dxa"/>
          </w:tcPr>
          <w:p w14:paraId="2F89C0C8" w14:textId="2429C87B" w:rsidR="00BE2EB2" w:rsidRDefault="00BE2EB2" w:rsidP="00BE2EB2">
            <w:r>
              <w:t>String</w:t>
            </w:r>
          </w:p>
        </w:tc>
        <w:tc>
          <w:tcPr>
            <w:tcW w:w="1260" w:type="dxa"/>
          </w:tcPr>
          <w:p w14:paraId="52B57FFD" w14:textId="0AEE6ED7" w:rsidR="00BE2EB2" w:rsidRDefault="00BE2EB2" w:rsidP="00BE2EB2">
            <w:r>
              <w:t>No</w:t>
            </w:r>
          </w:p>
        </w:tc>
        <w:tc>
          <w:tcPr>
            <w:tcW w:w="1800" w:type="dxa"/>
            <w:shd w:val="clear" w:color="auto" w:fill="auto"/>
          </w:tcPr>
          <w:p w14:paraId="17FBE3C1" w14:textId="6F1A3009" w:rsidR="00BE2EB2" w:rsidRPr="00EC12C1" w:rsidRDefault="00BE2EB2" w:rsidP="00BE2EB2">
            <w:proofErr w:type="spellStart"/>
            <w:proofErr w:type="gramStart"/>
            <w:r w:rsidRPr="002801B2">
              <w:t>java.io.IOException</w:t>
            </w:r>
            <w:proofErr w:type="spellEnd"/>
            <w:proofErr w:type="gramEnd"/>
            <w:r w:rsidRPr="002801B2">
              <w:t>: Unable to find file 'topicalIndex.csv'</w:t>
            </w:r>
          </w:p>
        </w:tc>
        <w:tc>
          <w:tcPr>
            <w:tcW w:w="3731"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27" w:name="_Toc518056026"/>
      <w:bookmarkStart w:id="28"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27"/>
      <w:bookmarkEnd w:id="28"/>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proofErr w:type="gramStart"/>
      <w:r w:rsidRPr="00F41E11">
        <w:rPr>
          <w:rFonts w:asciiTheme="minorHAnsi" w:hAnsiTheme="minorHAnsi"/>
          <w:sz w:val="22"/>
          <w:szCs w:val="22"/>
        </w:rPr>
        <w:t>java.io.IOException</w:t>
      </w:r>
      <w:proofErr w:type="spellEnd"/>
      <w:proofErr w:type="gram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29" w:name="_Toc519773835"/>
      <w:r>
        <w:t xml:space="preserve">API </w:t>
      </w:r>
      <w:r w:rsidR="004B1979">
        <w:t xml:space="preserve">Logging Policy </w:t>
      </w:r>
      <w:bookmarkEnd w:id="29"/>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proofErr w:type="gramStart"/>
      <w:r w:rsidR="00BD163F" w:rsidRPr="00BD163F">
        <w:rPr>
          <w:b/>
          <w:noProof/>
        </w:rPr>
        <w:t>1</w:t>
      </w:r>
      <w:r w:rsidR="00BD163F" w:rsidRPr="00BD163F">
        <w:rPr>
          <w:b/>
        </w:rPr>
        <w:t xml:space="preserve">  API</w:t>
      </w:r>
      <w:proofErr w:type="gramEnd"/>
      <w:r w:rsidR="00BD163F" w:rsidRPr="00BD163F">
        <w:rPr>
          <w:b/>
        </w:rPr>
        <w:t xml:space="preserve">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30" w:name="_Toc519773842"/>
      <w:r>
        <w:lastRenderedPageBreak/>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30"/>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31" w:name="_Toc519773836"/>
      <w:r>
        <w:t>API Audit Level Logging</w:t>
      </w:r>
      <w:bookmarkEnd w:id="31"/>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32" w:name="_Toc516654001"/>
      <w:bookmarkStart w:id="33" w:name="_Toc519773837"/>
      <w:r>
        <w:t>Integration with Third-Party Log Aggregators</w:t>
      </w:r>
      <w:bookmarkEnd w:id="32"/>
      <w:bookmarkEnd w:id="33"/>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34" w:name="_Toc519773838"/>
      <w:r>
        <w:t>Splunk</w:t>
      </w:r>
      <w:bookmarkEnd w:id="34"/>
    </w:p>
    <w:p w14:paraId="279670D7" w14:textId="48AE6A95" w:rsidR="008A1F08" w:rsidRDefault="008A1F08" w:rsidP="00753E2E">
      <w:pPr>
        <w:pStyle w:val="BodyText"/>
        <w:rPr>
          <w:ins w:id="35"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3" w:history="1">
        <w:r w:rsidRPr="00D73767">
          <w:rPr>
            <w:rStyle w:val="Hyperlink"/>
          </w:rPr>
          <w:t>Splunk Enterprise</w:t>
        </w:r>
      </w:hyperlink>
      <w:r>
        <w:t xml:space="preserve"> and </w:t>
      </w:r>
      <w:hyperlink r:id="rId14"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 xml:space="preserve">/test/resources for developers to configure and customize.  Using standard Apache log4j 2.0 configurations inside those log configuration files, a developer can </w:t>
      </w:r>
      <w:r>
        <w:lastRenderedPageBreak/>
        <w:t>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AB5E59" w:rsidP="003144D2">
      <w:pPr>
        <w:pStyle w:val="BodyText"/>
      </w:pPr>
      <w:hyperlink r:id="rId15" w:history="1">
        <w:r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bookmarkStart w:id="36" w:name="_GoBack"/>
      <w:bookmarkEnd w:id="36"/>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080E" w14:textId="77777777" w:rsidR="00D7189D" w:rsidRDefault="00D7189D">
      <w:r>
        <w:separator/>
      </w:r>
    </w:p>
    <w:p w14:paraId="3A86A38E" w14:textId="77777777" w:rsidR="00D7189D" w:rsidRDefault="00D7189D"/>
  </w:endnote>
  <w:endnote w:type="continuationSeparator" w:id="0">
    <w:p w14:paraId="7BE6BCC1" w14:textId="77777777" w:rsidR="00D7189D" w:rsidRDefault="00D7189D">
      <w:r>
        <w:continuationSeparator/>
      </w:r>
    </w:p>
    <w:p w14:paraId="5DE42462" w14:textId="77777777" w:rsidR="00D7189D" w:rsidRDefault="00D7189D"/>
  </w:endnote>
  <w:endnote w:type="continuationNotice" w:id="1">
    <w:p w14:paraId="0FE06A6E" w14:textId="77777777" w:rsidR="00D7189D" w:rsidRDefault="00D718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404F4" w14:textId="77777777" w:rsidR="00D7189D" w:rsidRDefault="00D7189D">
      <w:r>
        <w:separator/>
      </w:r>
    </w:p>
    <w:p w14:paraId="50AF08D0" w14:textId="77777777" w:rsidR="00D7189D" w:rsidRDefault="00D7189D"/>
  </w:footnote>
  <w:footnote w:type="continuationSeparator" w:id="0">
    <w:p w14:paraId="0F8EBEAD" w14:textId="77777777" w:rsidR="00D7189D" w:rsidRDefault="00D7189D">
      <w:r>
        <w:continuationSeparator/>
      </w:r>
    </w:p>
    <w:p w14:paraId="7235AE90" w14:textId="77777777" w:rsidR="00D7189D" w:rsidRDefault="00D7189D"/>
  </w:footnote>
  <w:footnote w:type="continuationNotice" w:id="1">
    <w:p w14:paraId="36EDEB04" w14:textId="77777777" w:rsidR="00D7189D" w:rsidRDefault="00D718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55F"/>
    <w:rsid w:val="00485B18"/>
    <w:rsid w:val="00490A94"/>
    <w:rsid w:val="004920DB"/>
    <w:rsid w:val="0049252B"/>
    <w:rsid w:val="004929C8"/>
    <w:rsid w:val="00494157"/>
    <w:rsid w:val="0049479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2AA2"/>
    <w:rsid w:val="00CE37CB"/>
    <w:rsid w:val="00CE3AF7"/>
    <w:rsid w:val="00CE4221"/>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it.va.gov/Services/TRM/ToolPage.aspx?tid=6615"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github.com/mulesoft-consulting/json-logge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83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05A139-5E23-459C-9F7A-184DEE4F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17683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