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86B" w:rsidRPr="00357DED" w:rsidRDefault="0097086B" w:rsidP="0097086B">
      <w:pPr>
        <w:pStyle w:val="NoSpacing"/>
        <w:rPr>
          <w:rFonts w:ascii="Cambria" w:hAnsi="Cambria"/>
          <w:b/>
        </w:rPr>
      </w:pPr>
      <w:r w:rsidRPr="00357DED">
        <w:rPr>
          <w:rFonts w:ascii="Cambria" w:hAnsi="Cambria"/>
          <w:b/>
        </w:rPr>
        <w:t>Department of Veterans Affairs</w:t>
      </w:r>
    </w:p>
    <w:p w:rsidR="0097086B" w:rsidRPr="00357DED" w:rsidRDefault="0097086B" w:rsidP="0097086B">
      <w:pPr>
        <w:pStyle w:val="NoSpacing"/>
        <w:rPr>
          <w:rFonts w:ascii="Cambria" w:hAnsi="Cambria"/>
          <w:b/>
        </w:rPr>
      </w:pPr>
      <w:r w:rsidRPr="00357DED">
        <w:rPr>
          <w:rFonts w:ascii="Cambria" w:hAnsi="Cambria"/>
          <w:b/>
        </w:rPr>
        <w:t>VA Pittsburgh Healthcare System</w:t>
      </w:r>
    </w:p>
    <w:p w:rsidR="0097086B" w:rsidRPr="00357DED" w:rsidRDefault="0097086B" w:rsidP="0097086B">
      <w:pPr>
        <w:pStyle w:val="NoSpacing"/>
        <w:rPr>
          <w:rFonts w:ascii="Cambria" w:hAnsi="Cambria"/>
          <w:b/>
        </w:rPr>
      </w:pPr>
      <w:r w:rsidRPr="00357DED">
        <w:rPr>
          <w:rFonts w:ascii="Cambria" w:hAnsi="Cambria"/>
          <w:b/>
        </w:rPr>
        <w:t>Research and Development Office</w:t>
      </w:r>
    </w:p>
    <w:p w:rsidR="00AC2371" w:rsidRPr="00357DED" w:rsidRDefault="00AC2371" w:rsidP="0097086B">
      <w:pPr>
        <w:pStyle w:val="NoSpacing"/>
        <w:rPr>
          <w:rFonts w:ascii="Cambria" w:hAnsi="Cambria"/>
          <w:b/>
        </w:rPr>
      </w:pPr>
    </w:p>
    <w:p w:rsidR="00993984" w:rsidRPr="00357DED" w:rsidRDefault="00993984" w:rsidP="000A1044">
      <w:pPr>
        <w:pStyle w:val="NoSpacing"/>
        <w:tabs>
          <w:tab w:val="left" w:pos="10350"/>
        </w:tabs>
        <w:jc w:val="center"/>
        <w:rPr>
          <w:rFonts w:ascii="Cambria" w:hAnsi="Cambria"/>
          <w:sz w:val="32"/>
          <w:szCs w:val="32"/>
        </w:rPr>
      </w:pPr>
    </w:p>
    <w:p w:rsidR="009372A2" w:rsidRPr="00357DED" w:rsidRDefault="005A68B8" w:rsidP="00B56948">
      <w:pPr>
        <w:pStyle w:val="NoSpacing"/>
        <w:jc w:val="center"/>
        <w:rPr>
          <w:rFonts w:ascii="Cambria" w:hAnsi="Cambria"/>
          <w:sz w:val="32"/>
          <w:szCs w:val="32"/>
        </w:rPr>
      </w:pPr>
      <w:r w:rsidRPr="00357DED">
        <w:rPr>
          <w:rFonts w:ascii="Cambria" w:hAnsi="Cambria"/>
          <w:sz w:val="32"/>
          <w:szCs w:val="32"/>
        </w:rPr>
        <w:t xml:space="preserve">Guidelines for </w:t>
      </w:r>
      <w:r w:rsidR="00D71C03" w:rsidRPr="00357DED">
        <w:rPr>
          <w:rFonts w:ascii="Cambria" w:hAnsi="Cambria"/>
          <w:sz w:val="32"/>
          <w:szCs w:val="32"/>
        </w:rPr>
        <w:t xml:space="preserve">Principal Investigators </w:t>
      </w:r>
      <w:r w:rsidR="00B94610" w:rsidRPr="00357DED">
        <w:rPr>
          <w:rFonts w:ascii="Cambria" w:hAnsi="Cambria"/>
          <w:sz w:val="32"/>
          <w:szCs w:val="32"/>
        </w:rPr>
        <w:t xml:space="preserve">Vacating </w:t>
      </w:r>
      <w:r w:rsidR="00913630" w:rsidRPr="00357DED">
        <w:rPr>
          <w:rFonts w:ascii="Cambria" w:hAnsi="Cambria"/>
          <w:sz w:val="32"/>
          <w:szCs w:val="32"/>
        </w:rPr>
        <w:t xml:space="preserve">Research </w:t>
      </w:r>
      <w:r w:rsidR="00B94610" w:rsidRPr="00357DED">
        <w:rPr>
          <w:rFonts w:ascii="Cambria" w:hAnsi="Cambria"/>
          <w:sz w:val="32"/>
          <w:szCs w:val="32"/>
        </w:rPr>
        <w:t>Laboratories at</w:t>
      </w:r>
      <w:r w:rsidR="000C3ED7" w:rsidRPr="00357DED">
        <w:rPr>
          <w:rFonts w:ascii="Cambria" w:hAnsi="Cambria"/>
          <w:sz w:val="32"/>
          <w:szCs w:val="32"/>
        </w:rPr>
        <w:t xml:space="preserve"> </w:t>
      </w:r>
      <w:r w:rsidR="009372A2" w:rsidRPr="00357DED">
        <w:rPr>
          <w:rFonts w:ascii="Cambria" w:hAnsi="Cambria"/>
          <w:sz w:val="32"/>
          <w:szCs w:val="32"/>
        </w:rPr>
        <w:t>the</w:t>
      </w:r>
    </w:p>
    <w:p w:rsidR="00B56948" w:rsidRPr="00357DED" w:rsidRDefault="000C3ED7" w:rsidP="00AC2371">
      <w:pPr>
        <w:pStyle w:val="NoSpacing"/>
        <w:jc w:val="center"/>
        <w:rPr>
          <w:rFonts w:ascii="Cambria" w:hAnsi="Cambria"/>
          <w:sz w:val="24"/>
          <w:szCs w:val="24"/>
        </w:rPr>
      </w:pPr>
      <w:r w:rsidRPr="00357DED">
        <w:rPr>
          <w:rFonts w:ascii="Cambria" w:hAnsi="Cambria"/>
          <w:sz w:val="32"/>
          <w:szCs w:val="32"/>
        </w:rPr>
        <w:t>VA Pittsburgh Healthcare System</w:t>
      </w:r>
    </w:p>
    <w:p w:rsidR="00AC2371" w:rsidRPr="00357DED" w:rsidRDefault="00AC2371" w:rsidP="00AC2371">
      <w:pPr>
        <w:pStyle w:val="NoSpacing"/>
        <w:jc w:val="center"/>
        <w:rPr>
          <w:rFonts w:ascii="Cambria" w:hAnsi="Cambria"/>
          <w:sz w:val="24"/>
          <w:szCs w:val="24"/>
        </w:rPr>
      </w:pPr>
    </w:p>
    <w:p w:rsidR="00E17596" w:rsidRPr="00357DED" w:rsidRDefault="001A3CBB" w:rsidP="00E17596">
      <w:pPr>
        <w:pStyle w:val="ListParagraph"/>
        <w:numPr>
          <w:ilvl w:val="0"/>
          <w:numId w:val="1"/>
        </w:numPr>
        <w:rPr>
          <w:rFonts w:ascii="Cambria" w:hAnsi="Cambria"/>
          <w:b/>
          <w:sz w:val="24"/>
          <w:szCs w:val="24"/>
        </w:rPr>
      </w:pPr>
      <w:r w:rsidRPr="00357DED">
        <w:rPr>
          <w:rFonts w:ascii="Cambria" w:hAnsi="Cambria"/>
          <w:b/>
          <w:sz w:val="24"/>
          <w:szCs w:val="24"/>
        </w:rPr>
        <w:t>Purpose</w:t>
      </w:r>
    </w:p>
    <w:p w:rsidR="0097086B" w:rsidRPr="00357DED" w:rsidRDefault="0097086B" w:rsidP="00E17596">
      <w:pPr>
        <w:pStyle w:val="ListParagraph"/>
        <w:rPr>
          <w:rFonts w:ascii="Cambria" w:hAnsi="Cambria"/>
        </w:rPr>
      </w:pPr>
      <w:r w:rsidRPr="00357DED">
        <w:rPr>
          <w:rFonts w:ascii="Cambria" w:hAnsi="Cambria"/>
        </w:rPr>
        <w:t>T</w:t>
      </w:r>
      <w:r w:rsidR="00FB008E" w:rsidRPr="00357DED">
        <w:rPr>
          <w:rFonts w:ascii="Cambria" w:hAnsi="Cambria"/>
        </w:rPr>
        <w:t>he purpose of the</w:t>
      </w:r>
      <w:r w:rsidR="00257D7E" w:rsidRPr="00357DED">
        <w:rPr>
          <w:rFonts w:ascii="Cambria" w:hAnsi="Cambria"/>
        </w:rPr>
        <w:t>se</w:t>
      </w:r>
      <w:r w:rsidR="00F34A4D" w:rsidRPr="00357DED">
        <w:rPr>
          <w:rFonts w:ascii="Cambria" w:hAnsi="Cambria"/>
        </w:rPr>
        <w:t xml:space="preserve"> guideline</w:t>
      </w:r>
      <w:r w:rsidR="00FB008E" w:rsidRPr="00357DED">
        <w:rPr>
          <w:rFonts w:ascii="Cambria" w:hAnsi="Cambria"/>
        </w:rPr>
        <w:t>s</w:t>
      </w:r>
      <w:r w:rsidR="00F34A4D" w:rsidRPr="00357DED">
        <w:rPr>
          <w:rFonts w:ascii="Cambria" w:hAnsi="Cambria"/>
        </w:rPr>
        <w:t xml:space="preserve"> is t</w:t>
      </w:r>
      <w:r w:rsidRPr="00357DED">
        <w:rPr>
          <w:rFonts w:ascii="Cambria" w:hAnsi="Cambria"/>
        </w:rPr>
        <w:t xml:space="preserve">o define requirements for </w:t>
      </w:r>
      <w:r w:rsidR="00D71C03" w:rsidRPr="00357DED">
        <w:rPr>
          <w:rFonts w:ascii="Cambria" w:hAnsi="Cambria"/>
        </w:rPr>
        <w:t>Principal I</w:t>
      </w:r>
      <w:r w:rsidR="000C3ED7" w:rsidRPr="00357DED">
        <w:rPr>
          <w:rFonts w:ascii="Cambria" w:hAnsi="Cambria"/>
        </w:rPr>
        <w:t xml:space="preserve">nvestigators </w:t>
      </w:r>
      <w:r w:rsidR="00BF1BAE" w:rsidRPr="00357DED">
        <w:rPr>
          <w:rFonts w:ascii="Cambria" w:hAnsi="Cambria"/>
        </w:rPr>
        <w:t xml:space="preserve">(PIs) </w:t>
      </w:r>
      <w:r w:rsidR="000C3ED7" w:rsidRPr="00357DED">
        <w:rPr>
          <w:rFonts w:ascii="Cambria" w:hAnsi="Cambria"/>
        </w:rPr>
        <w:t xml:space="preserve">that are </w:t>
      </w:r>
      <w:r w:rsidR="00326E6B" w:rsidRPr="00357DED">
        <w:rPr>
          <w:rFonts w:ascii="Cambria" w:hAnsi="Cambria"/>
        </w:rPr>
        <w:t>vacating</w:t>
      </w:r>
      <w:r w:rsidR="00F96B22" w:rsidRPr="00357DED">
        <w:rPr>
          <w:rFonts w:ascii="Cambria" w:hAnsi="Cambria"/>
        </w:rPr>
        <w:t xml:space="preserve"> research</w:t>
      </w:r>
      <w:r w:rsidR="00326E6B" w:rsidRPr="00357DED">
        <w:rPr>
          <w:rFonts w:ascii="Cambria" w:hAnsi="Cambria"/>
        </w:rPr>
        <w:t xml:space="preserve"> laboratory space at</w:t>
      </w:r>
      <w:r w:rsidR="00D71C03" w:rsidRPr="00357DED">
        <w:rPr>
          <w:rFonts w:ascii="Cambria" w:hAnsi="Cambria"/>
        </w:rPr>
        <w:t xml:space="preserve"> </w:t>
      </w:r>
      <w:r w:rsidR="000C3ED7" w:rsidRPr="00357DED">
        <w:rPr>
          <w:rFonts w:ascii="Cambria" w:hAnsi="Cambria"/>
        </w:rPr>
        <w:t>the VA Pittsburgh Healthcare System (VAPHS)</w:t>
      </w:r>
      <w:r w:rsidR="009E2A95" w:rsidRPr="00357DED">
        <w:rPr>
          <w:rFonts w:ascii="Cambria" w:hAnsi="Cambria"/>
        </w:rPr>
        <w:t>.</w:t>
      </w:r>
      <w:r w:rsidR="00D71C03" w:rsidRPr="00357DED">
        <w:rPr>
          <w:rFonts w:ascii="Cambria" w:hAnsi="Cambria"/>
        </w:rPr>
        <w:t xml:space="preserve">  </w:t>
      </w:r>
    </w:p>
    <w:p w:rsidR="0097086B" w:rsidRPr="00357DED" w:rsidRDefault="0097086B" w:rsidP="0097086B">
      <w:pPr>
        <w:pStyle w:val="ListParagraph"/>
        <w:ind w:left="0"/>
        <w:rPr>
          <w:rFonts w:ascii="Cambria" w:hAnsi="Cambria"/>
        </w:rPr>
      </w:pPr>
    </w:p>
    <w:p w:rsidR="0097086B" w:rsidRPr="00357DED" w:rsidRDefault="001A3CBB" w:rsidP="0097086B">
      <w:pPr>
        <w:pStyle w:val="ListParagraph"/>
        <w:numPr>
          <w:ilvl w:val="0"/>
          <w:numId w:val="1"/>
        </w:numPr>
        <w:rPr>
          <w:rFonts w:ascii="Cambria" w:hAnsi="Cambria"/>
          <w:b/>
          <w:sz w:val="24"/>
          <w:szCs w:val="24"/>
        </w:rPr>
      </w:pPr>
      <w:r w:rsidRPr="00357DED">
        <w:rPr>
          <w:rFonts w:ascii="Cambria" w:hAnsi="Cambria"/>
          <w:b/>
          <w:sz w:val="24"/>
          <w:szCs w:val="24"/>
        </w:rPr>
        <w:t>Introduction</w:t>
      </w:r>
    </w:p>
    <w:p w:rsidR="0097086B" w:rsidRPr="00357DED" w:rsidRDefault="003D58D3" w:rsidP="00351B88">
      <w:pPr>
        <w:pStyle w:val="ListParagraph"/>
        <w:rPr>
          <w:rFonts w:ascii="Cambria" w:hAnsi="Cambria"/>
        </w:rPr>
      </w:pPr>
      <w:r w:rsidRPr="00357DED">
        <w:rPr>
          <w:rFonts w:ascii="Cambria" w:hAnsi="Cambria"/>
        </w:rPr>
        <w:t xml:space="preserve">The transfer of a </w:t>
      </w:r>
      <w:r w:rsidR="009045FC" w:rsidRPr="00357DED">
        <w:rPr>
          <w:rFonts w:ascii="Cambria" w:hAnsi="Cambria"/>
        </w:rPr>
        <w:t xml:space="preserve">research </w:t>
      </w:r>
      <w:r w:rsidRPr="00357DED">
        <w:rPr>
          <w:rFonts w:ascii="Cambria" w:hAnsi="Cambria"/>
        </w:rPr>
        <w:t xml:space="preserve">laboratory is a complex operation that raises </w:t>
      </w:r>
      <w:proofErr w:type="gramStart"/>
      <w:r w:rsidRPr="00357DED">
        <w:rPr>
          <w:rFonts w:ascii="Cambria" w:hAnsi="Cambria"/>
        </w:rPr>
        <w:t>a number of</w:t>
      </w:r>
      <w:proofErr w:type="gramEnd"/>
      <w:r w:rsidRPr="00357DED">
        <w:rPr>
          <w:rFonts w:ascii="Cambria" w:hAnsi="Cambria"/>
        </w:rPr>
        <w:t xml:space="preserve"> concerns</w:t>
      </w:r>
      <w:r w:rsidR="00265475" w:rsidRPr="00357DED">
        <w:rPr>
          <w:rFonts w:ascii="Cambria" w:hAnsi="Cambria"/>
        </w:rPr>
        <w:t>.</w:t>
      </w:r>
      <w:r w:rsidRPr="00357DED">
        <w:rPr>
          <w:rFonts w:ascii="Cambria" w:hAnsi="Cambria"/>
        </w:rPr>
        <w:t xml:space="preserve">  It is important that </w:t>
      </w:r>
      <w:r w:rsidR="00351B88" w:rsidRPr="00357DED">
        <w:rPr>
          <w:rFonts w:ascii="Cambria" w:hAnsi="Cambria"/>
        </w:rPr>
        <w:t>hazardous</w:t>
      </w:r>
      <w:r w:rsidRPr="00357DED">
        <w:rPr>
          <w:rFonts w:ascii="Cambria" w:hAnsi="Cambria"/>
        </w:rPr>
        <w:t xml:space="preserve"> materials are handled in the proper manner during the transfers.  The following a</w:t>
      </w:r>
      <w:r w:rsidR="00BF1BAE" w:rsidRPr="00357DED">
        <w:rPr>
          <w:rFonts w:ascii="Cambria" w:hAnsi="Cambria"/>
        </w:rPr>
        <w:t>re a set of guidelines to help PIs</w:t>
      </w:r>
      <w:r w:rsidRPr="00357DED">
        <w:rPr>
          <w:rFonts w:ascii="Cambria" w:hAnsi="Cambria"/>
        </w:rPr>
        <w:t xml:space="preserve"> a</w:t>
      </w:r>
      <w:r w:rsidR="00980BD0" w:rsidRPr="00357DED">
        <w:rPr>
          <w:rFonts w:ascii="Cambria" w:hAnsi="Cambria"/>
        </w:rPr>
        <w:t>nd their staff in the proper ste</w:t>
      </w:r>
      <w:r w:rsidRPr="00357DED">
        <w:rPr>
          <w:rFonts w:ascii="Cambria" w:hAnsi="Cambria"/>
        </w:rPr>
        <w:t xml:space="preserve">ps to treat and handle these </w:t>
      </w:r>
      <w:r w:rsidR="00970FEA" w:rsidRPr="00357DED">
        <w:rPr>
          <w:rFonts w:ascii="Cambria" w:hAnsi="Cambria"/>
        </w:rPr>
        <w:t xml:space="preserve">hazardous </w:t>
      </w:r>
      <w:r w:rsidRPr="00357DED">
        <w:rPr>
          <w:rFonts w:ascii="Cambria" w:hAnsi="Cambria"/>
        </w:rPr>
        <w:t>materials</w:t>
      </w:r>
      <w:r w:rsidR="00351B88" w:rsidRPr="00357DED">
        <w:rPr>
          <w:rFonts w:ascii="Cambria" w:hAnsi="Cambria"/>
        </w:rPr>
        <w:t xml:space="preserve"> as well as </w:t>
      </w:r>
      <w:r w:rsidR="005D01A7" w:rsidRPr="00357DED">
        <w:rPr>
          <w:rFonts w:ascii="Cambria" w:hAnsi="Cambria"/>
        </w:rPr>
        <w:t xml:space="preserve">steps to take to complete </w:t>
      </w:r>
      <w:r w:rsidR="00351B88" w:rsidRPr="00357DED">
        <w:rPr>
          <w:rFonts w:ascii="Cambria" w:hAnsi="Cambria"/>
        </w:rPr>
        <w:t>administrative items before the departure</w:t>
      </w:r>
      <w:r w:rsidRPr="00357DED">
        <w:rPr>
          <w:rFonts w:ascii="Cambria" w:hAnsi="Cambria"/>
        </w:rPr>
        <w:t xml:space="preserve">.  </w:t>
      </w:r>
      <w:r w:rsidR="00351B88" w:rsidRPr="00357DED">
        <w:rPr>
          <w:rFonts w:ascii="Cambria" w:hAnsi="Cambria"/>
        </w:rPr>
        <w:t xml:space="preserve">Investigators leaving the VAPHS </w:t>
      </w:r>
      <w:r w:rsidR="00C76C11" w:rsidRPr="00357DED">
        <w:rPr>
          <w:rFonts w:ascii="Cambria" w:hAnsi="Cambria"/>
        </w:rPr>
        <w:t xml:space="preserve">must contact the </w:t>
      </w:r>
      <w:r w:rsidR="000E500F" w:rsidRPr="00357DED">
        <w:rPr>
          <w:rFonts w:ascii="Cambria" w:hAnsi="Cambria"/>
        </w:rPr>
        <w:t xml:space="preserve">Associate Chief of Staff </w:t>
      </w:r>
      <w:r w:rsidR="00E5729D" w:rsidRPr="00357DED">
        <w:rPr>
          <w:rFonts w:ascii="Cambria" w:hAnsi="Cambria"/>
        </w:rPr>
        <w:t xml:space="preserve">for the Research and Development Department (ACOS/R&amp;D) and the </w:t>
      </w:r>
      <w:r w:rsidR="000B1C56" w:rsidRPr="00357DED">
        <w:rPr>
          <w:rFonts w:ascii="Cambria" w:hAnsi="Cambria"/>
        </w:rPr>
        <w:t>Business Manager</w:t>
      </w:r>
      <w:r w:rsidR="00C76C11" w:rsidRPr="00357DED">
        <w:rPr>
          <w:rFonts w:ascii="Cambria" w:hAnsi="Cambria"/>
        </w:rPr>
        <w:t xml:space="preserve"> (</w:t>
      </w:r>
      <w:r w:rsidR="000B1C56" w:rsidRPr="00357DED">
        <w:rPr>
          <w:rFonts w:ascii="Cambria" w:hAnsi="Cambria"/>
        </w:rPr>
        <w:t>Business Manager</w:t>
      </w:r>
      <w:r w:rsidR="00C76C11" w:rsidRPr="00357DED">
        <w:rPr>
          <w:rFonts w:ascii="Cambria" w:hAnsi="Cambria"/>
        </w:rPr>
        <w:t xml:space="preserve">/R&amp;D) at least </w:t>
      </w:r>
      <w:r w:rsidR="00FE1929" w:rsidRPr="00357DED">
        <w:rPr>
          <w:rFonts w:ascii="Cambria" w:hAnsi="Cambria"/>
        </w:rPr>
        <w:t>sixty (</w:t>
      </w:r>
      <w:r w:rsidR="00C76C11" w:rsidRPr="00357DED">
        <w:rPr>
          <w:rFonts w:ascii="Cambria" w:hAnsi="Cambria"/>
        </w:rPr>
        <w:t>60</w:t>
      </w:r>
      <w:r w:rsidR="00FE1929" w:rsidRPr="00357DED">
        <w:rPr>
          <w:rFonts w:ascii="Cambria" w:hAnsi="Cambria"/>
        </w:rPr>
        <w:t>)</w:t>
      </w:r>
      <w:r w:rsidR="00C76C11" w:rsidRPr="00357DED">
        <w:rPr>
          <w:rFonts w:ascii="Cambria" w:hAnsi="Cambria"/>
        </w:rPr>
        <w:t xml:space="preserve"> days in advance of the move </w:t>
      </w:r>
      <w:r w:rsidR="001C75F8" w:rsidRPr="00357DED">
        <w:rPr>
          <w:rFonts w:ascii="Cambria" w:hAnsi="Cambria"/>
        </w:rPr>
        <w:t xml:space="preserve">(when possible) </w:t>
      </w:r>
      <w:r w:rsidR="00C76C11" w:rsidRPr="00357DED">
        <w:rPr>
          <w:rFonts w:ascii="Cambria" w:hAnsi="Cambria"/>
        </w:rPr>
        <w:t xml:space="preserve">and </w:t>
      </w:r>
      <w:r w:rsidR="00351B88" w:rsidRPr="00357DED">
        <w:rPr>
          <w:rFonts w:ascii="Cambria" w:hAnsi="Cambria"/>
        </w:rPr>
        <w:t xml:space="preserve">should consult with the relevant administrators to plan the relocation.  </w:t>
      </w:r>
    </w:p>
    <w:p w:rsidR="0097086B" w:rsidRPr="00357DED" w:rsidRDefault="0097086B" w:rsidP="0097086B">
      <w:pPr>
        <w:pStyle w:val="ListParagraph"/>
        <w:rPr>
          <w:rFonts w:ascii="Cambria" w:hAnsi="Cambria"/>
        </w:rPr>
      </w:pPr>
    </w:p>
    <w:p w:rsidR="0097086B" w:rsidRPr="00357DED" w:rsidRDefault="00DC7907" w:rsidP="000030FF">
      <w:pPr>
        <w:pStyle w:val="ListParagraph"/>
        <w:numPr>
          <w:ilvl w:val="0"/>
          <w:numId w:val="1"/>
        </w:numPr>
        <w:rPr>
          <w:rFonts w:ascii="Cambria" w:hAnsi="Cambria"/>
          <w:b/>
          <w:sz w:val="24"/>
          <w:szCs w:val="24"/>
        </w:rPr>
      </w:pPr>
      <w:r w:rsidRPr="00357DED">
        <w:rPr>
          <w:rFonts w:ascii="Cambria" w:hAnsi="Cambria"/>
          <w:b/>
          <w:sz w:val="24"/>
          <w:szCs w:val="24"/>
        </w:rPr>
        <w:t>Guidelines</w:t>
      </w:r>
      <w:r w:rsidR="001A3CBB" w:rsidRPr="00357DED">
        <w:rPr>
          <w:rFonts w:ascii="Cambria" w:hAnsi="Cambria"/>
          <w:b/>
          <w:sz w:val="24"/>
          <w:szCs w:val="24"/>
        </w:rPr>
        <w:t xml:space="preserve"> for </w:t>
      </w:r>
      <w:r w:rsidR="00D71C03" w:rsidRPr="00357DED">
        <w:rPr>
          <w:rFonts w:ascii="Cambria" w:hAnsi="Cambria"/>
          <w:b/>
          <w:sz w:val="24"/>
          <w:szCs w:val="24"/>
        </w:rPr>
        <w:t>Leaving VAPHS</w:t>
      </w:r>
    </w:p>
    <w:p w:rsidR="00074522" w:rsidRPr="00357DED" w:rsidRDefault="00074522" w:rsidP="009372A2">
      <w:pPr>
        <w:pStyle w:val="ListParagraph"/>
        <w:rPr>
          <w:rFonts w:ascii="Cambria" w:hAnsi="Cambria"/>
        </w:rPr>
      </w:pPr>
    </w:p>
    <w:p w:rsidR="0084008F" w:rsidRPr="00357DED" w:rsidRDefault="00074522" w:rsidP="005D01A7">
      <w:pPr>
        <w:pStyle w:val="ListParagraph"/>
        <w:rPr>
          <w:rFonts w:ascii="Cambria" w:hAnsi="Cambria"/>
          <w:b/>
        </w:rPr>
      </w:pPr>
      <w:r w:rsidRPr="00357DED">
        <w:rPr>
          <w:rFonts w:ascii="Cambria" w:hAnsi="Cambria"/>
          <w:b/>
        </w:rPr>
        <w:t>General Procedures for Closing Laboratories:</w:t>
      </w:r>
    </w:p>
    <w:p w:rsidR="00C5516D" w:rsidRPr="00357DED" w:rsidRDefault="005D01A7" w:rsidP="00FF01BD">
      <w:pPr>
        <w:pStyle w:val="ListParagraph"/>
        <w:numPr>
          <w:ilvl w:val="0"/>
          <w:numId w:val="5"/>
        </w:numPr>
        <w:rPr>
          <w:rFonts w:ascii="Cambria" w:hAnsi="Cambria"/>
        </w:rPr>
      </w:pPr>
      <w:r w:rsidRPr="00357DED">
        <w:rPr>
          <w:rFonts w:ascii="Cambria" w:hAnsi="Cambria"/>
        </w:rPr>
        <w:t xml:space="preserve">When a laboratory is vacated, the </w:t>
      </w:r>
      <w:r w:rsidR="00DD5528" w:rsidRPr="00357DED">
        <w:rPr>
          <w:rFonts w:ascii="Cambria" w:hAnsi="Cambria"/>
        </w:rPr>
        <w:t>PI</w:t>
      </w:r>
      <w:r w:rsidRPr="00357DED">
        <w:rPr>
          <w:rFonts w:ascii="Cambria" w:hAnsi="Cambria"/>
        </w:rPr>
        <w:t xml:space="preserve"> is responsible for ensuring that rooms are clean and safe for the next occupant or for individuals performing planned re</w:t>
      </w:r>
      <w:r w:rsidR="008C2D49" w:rsidRPr="00357DED">
        <w:rPr>
          <w:rFonts w:ascii="Cambria" w:hAnsi="Cambria"/>
        </w:rPr>
        <w:t xml:space="preserve">novations.  </w:t>
      </w:r>
      <w:r w:rsidR="001A3CBB" w:rsidRPr="00357DED">
        <w:rPr>
          <w:rFonts w:ascii="Cambria" w:hAnsi="Cambria"/>
        </w:rPr>
        <w:t xml:space="preserve">All chemical and </w:t>
      </w:r>
      <w:r w:rsidR="009372A2" w:rsidRPr="00357DED">
        <w:rPr>
          <w:rFonts w:ascii="Cambria" w:hAnsi="Cambria"/>
        </w:rPr>
        <w:t xml:space="preserve">biological materials must be removed from the vacated space.  </w:t>
      </w:r>
      <w:r w:rsidR="00B1032E" w:rsidRPr="00357DED">
        <w:rPr>
          <w:rFonts w:ascii="Cambria" w:hAnsi="Cambria"/>
        </w:rPr>
        <w:t>If there are plans to transfer chemicals or other materials to another VAPHS investigator, then the proper forms must be filled out and approved before any transfer can be made.</w:t>
      </w:r>
      <w:r w:rsidR="00C5516D" w:rsidRPr="00357DED">
        <w:rPr>
          <w:rFonts w:ascii="Cambria" w:hAnsi="Cambria"/>
        </w:rPr>
        <w:t xml:space="preserve">  For information on the appropriate forms that must be approved, contact the IBC Coordinator (412-</w:t>
      </w:r>
      <w:r w:rsidR="00154BC4" w:rsidRPr="00357DED">
        <w:rPr>
          <w:rFonts w:ascii="Cambria" w:hAnsi="Cambria"/>
        </w:rPr>
        <w:t>360-2</w:t>
      </w:r>
      <w:r w:rsidR="00C5516D" w:rsidRPr="00357DED">
        <w:rPr>
          <w:rFonts w:ascii="Cambria" w:hAnsi="Cambria"/>
        </w:rPr>
        <w:t>382).  In addition, contact the appropriate personnel with any excess radioisotopes, microbial agents, chemicals, and recombinant DNA used in this project.</w:t>
      </w:r>
      <w:r w:rsidR="00FF01BD" w:rsidRPr="00357DED">
        <w:rPr>
          <w:rFonts w:ascii="Cambria" w:hAnsi="Cambria"/>
        </w:rPr>
        <w:t xml:space="preserve">  </w:t>
      </w:r>
      <w:r w:rsidR="00C5516D" w:rsidRPr="00357DED">
        <w:rPr>
          <w:rFonts w:ascii="Cambria" w:hAnsi="Cambria"/>
        </w:rPr>
        <w:t xml:space="preserve"> </w:t>
      </w:r>
      <w:r w:rsidR="003059DF" w:rsidRPr="00357DED">
        <w:rPr>
          <w:rFonts w:ascii="Cambria" w:hAnsi="Cambria"/>
        </w:rPr>
        <w:t>Contact t</w:t>
      </w:r>
      <w:r w:rsidR="00FF01BD" w:rsidRPr="00357DED">
        <w:rPr>
          <w:rFonts w:ascii="Cambria" w:hAnsi="Cambria"/>
        </w:rPr>
        <w:t xml:space="preserve">he Biosafety Officer </w:t>
      </w:r>
      <w:r w:rsidR="003059DF" w:rsidRPr="00357DED">
        <w:rPr>
          <w:rFonts w:ascii="Cambria" w:hAnsi="Cambria"/>
        </w:rPr>
        <w:t>to</w:t>
      </w:r>
      <w:r w:rsidR="00FF01BD" w:rsidRPr="00357DED">
        <w:rPr>
          <w:rFonts w:ascii="Cambria" w:hAnsi="Cambria"/>
        </w:rPr>
        <w:t xml:space="preserve"> assist with any needed Material Transfer Agreements (MTAs) to transfer materials.</w:t>
      </w:r>
    </w:p>
    <w:p w:rsidR="00C5516D" w:rsidRPr="00357DED" w:rsidRDefault="00B1032E" w:rsidP="00C5516D">
      <w:pPr>
        <w:pStyle w:val="ListParagraph"/>
        <w:ind w:left="1080"/>
        <w:rPr>
          <w:rFonts w:ascii="Cambria" w:hAnsi="Cambria"/>
        </w:rPr>
      </w:pPr>
      <w:r w:rsidRPr="00357DED">
        <w:rPr>
          <w:rFonts w:ascii="Cambria" w:hAnsi="Cambria"/>
        </w:rPr>
        <w:t xml:space="preserve">  </w:t>
      </w:r>
    </w:p>
    <w:p w:rsidR="00D45E1D" w:rsidRPr="00357DED" w:rsidRDefault="009372A2" w:rsidP="0084008F">
      <w:pPr>
        <w:pStyle w:val="ListParagraph"/>
        <w:numPr>
          <w:ilvl w:val="1"/>
          <w:numId w:val="3"/>
        </w:numPr>
        <w:rPr>
          <w:rFonts w:ascii="Cambria" w:hAnsi="Cambria"/>
        </w:rPr>
      </w:pPr>
      <w:r w:rsidRPr="00357DED">
        <w:rPr>
          <w:rFonts w:ascii="Cambria" w:hAnsi="Cambria"/>
        </w:rPr>
        <w:t>Properly dispose of any unwanted materials.  Contact the GEMS Coordinator at 412-</w:t>
      </w:r>
      <w:r w:rsidR="00154BC4" w:rsidRPr="00357DED">
        <w:rPr>
          <w:rFonts w:ascii="Cambria" w:hAnsi="Cambria"/>
        </w:rPr>
        <w:t>822</w:t>
      </w:r>
      <w:r w:rsidRPr="00357DED">
        <w:rPr>
          <w:rFonts w:ascii="Cambria" w:hAnsi="Cambria"/>
        </w:rPr>
        <w:t>-</w:t>
      </w:r>
      <w:r w:rsidR="00154BC4" w:rsidRPr="00357DED">
        <w:rPr>
          <w:rFonts w:ascii="Cambria" w:hAnsi="Cambria"/>
        </w:rPr>
        <w:t>3197</w:t>
      </w:r>
      <w:r w:rsidRPr="00357DED">
        <w:rPr>
          <w:rFonts w:ascii="Cambria" w:hAnsi="Cambria"/>
        </w:rPr>
        <w:t xml:space="preserve"> with any questions regarding chemical waste disposal.  For information on disposal of biohazardous waste, contact the Biosafety Officer for Research at 412-</w:t>
      </w:r>
      <w:r w:rsidR="00154BC4" w:rsidRPr="00357DED">
        <w:rPr>
          <w:rFonts w:ascii="Cambria" w:hAnsi="Cambria"/>
        </w:rPr>
        <w:t>360</w:t>
      </w:r>
      <w:r w:rsidRPr="00357DED">
        <w:rPr>
          <w:rFonts w:ascii="Cambria" w:hAnsi="Cambria"/>
        </w:rPr>
        <w:t>-</w:t>
      </w:r>
      <w:r w:rsidR="00154BC4" w:rsidRPr="00357DED">
        <w:rPr>
          <w:rFonts w:ascii="Cambria" w:hAnsi="Cambria"/>
        </w:rPr>
        <w:t>28</w:t>
      </w:r>
      <w:r w:rsidRPr="00357DED">
        <w:rPr>
          <w:rFonts w:ascii="Cambria" w:hAnsi="Cambria"/>
        </w:rPr>
        <w:t>42.</w:t>
      </w:r>
      <w:r w:rsidR="0084008F" w:rsidRPr="00357DED">
        <w:rPr>
          <w:rFonts w:ascii="Cambria" w:hAnsi="Cambria"/>
        </w:rPr>
        <w:t xml:space="preserve">  In addition, </w:t>
      </w:r>
      <w:r w:rsidR="00D45E1D" w:rsidRPr="00357DED">
        <w:rPr>
          <w:rFonts w:ascii="Cambria" w:hAnsi="Cambria"/>
        </w:rPr>
        <w:t>investigators must do the following when relocating hazardous materials</w:t>
      </w:r>
      <w:r w:rsidR="00C5516D" w:rsidRPr="00357DED">
        <w:rPr>
          <w:rFonts w:ascii="Cambria" w:hAnsi="Cambria"/>
        </w:rPr>
        <w:t xml:space="preserve"> to another facility or institution</w:t>
      </w:r>
      <w:r w:rsidR="00D45E1D" w:rsidRPr="00357DED">
        <w:rPr>
          <w:rFonts w:ascii="Cambria" w:hAnsi="Cambria"/>
        </w:rPr>
        <w:t>:</w:t>
      </w:r>
      <w:r w:rsidRPr="00357DED">
        <w:rPr>
          <w:rFonts w:ascii="Cambria" w:hAnsi="Cambria"/>
        </w:rPr>
        <w:t xml:space="preserve">  </w:t>
      </w:r>
    </w:p>
    <w:p w:rsidR="006237A5" w:rsidRPr="00357DED" w:rsidRDefault="006237A5" w:rsidP="006237A5">
      <w:pPr>
        <w:pStyle w:val="ListParagraph"/>
        <w:ind w:left="1440"/>
        <w:rPr>
          <w:rFonts w:ascii="Cambria" w:hAnsi="Cambria"/>
        </w:rPr>
      </w:pPr>
    </w:p>
    <w:p w:rsidR="00D45E1D" w:rsidRPr="00357DED" w:rsidRDefault="00D45E1D" w:rsidP="00D45E1D">
      <w:pPr>
        <w:pStyle w:val="ListParagraph"/>
        <w:numPr>
          <w:ilvl w:val="2"/>
          <w:numId w:val="3"/>
        </w:numPr>
        <w:rPr>
          <w:rFonts w:ascii="Cambria" w:hAnsi="Cambria"/>
        </w:rPr>
      </w:pPr>
      <w:r w:rsidRPr="00357DED">
        <w:rPr>
          <w:rFonts w:ascii="Cambria" w:hAnsi="Cambria"/>
        </w:rPr>
        <w:t>Moving Biological Materials – Utilize a Department of Transportation (DOT)-licensed hazardous material carrier to transport biological materials (microbial agents, toxins, animal and human materials) to another laboratory destination via public thoroughfare.</w:t>
      </w:r>
    </w:p>
    <w:p w:rsidR="00D45E1D" w:rsidRPr="00357DED" w:rsidRDefault="00D45E1D" w:rsidP="00D45E1D">
      <w:pPr>
        <w:pStyle w:val="ListParagraph"/>
        <w:ind w:left="1800"/>
        <w:rPr>
          <w:rFonts w:ascii="Cambria" w:hAnsi="Cambria"/>
        </w:rPr>
      </w:pPr>
    </w:p>
    <w:p w:rsidR="00D45E1D" w:rsidRPr="00357DED" w:rsidRDefault="00D45E1D" w:rsidP="00D45E1D">
      <w:pPr>
        <w:pStyle w:val="ListParagraph"/>
        <w:numPr>
          <w:ilvl w:val="2"/>
          <w:numId w:val="3"/>
        </w:numPr>
        <w:rPr>
          <w:rFonts w:ascii="Cambria" w:hAnsi="Cambria"/>
        </w:rPr>
      </w:pPr>
      <w:r w:rsidRPr="00357DED">
        <w:rPr>
          <w:rFonts w:ascii="Cambria" w:hAnsi="Cambria"/>
        </w:rPr>
        <w:lastRenderedPageBreak/>
        <w:t>Moving Chemicals – Utilize a DOT-licensed hazardous material carrier to transport any chemicals to another laboratory destination via publi</w:t>
      </w:r>
      <w:r w:rsidR="00F43059" w:rsidRPr="00357DED">
        <w:rPr>
          <w:rFonts w:ascii="Cambria" w:hAnsi="Cambria"/>
        </w:rPr>
        <w:t>c thoroughfare.  Toxic materials</w:t>
      </w:r>
      <w:r w:rsidRPr="00357DED">
        <w:rPr>
          <w:rFonts w:ascii="Cambria" w:hAnsi="Cambria"/>
        </w:rPr>
        <w:t>, carcinogens, highly reactive chemicals, controlled drugs, and other restricted chemicals should be moved by trained laboratory staff only.  All chemicals must be properly labeled and packaged.  Incompatible chemicals must not be placed together during storage or transport.  Secondary containment should be utilized to control spilled materials.</w:t>
      </w:r>
    </w:p>
    <w:p w:rsidR="0097086B" w:rsidRPr="00357DED" w:rsidRDefault="0097086B" w:rsidP="0097086B">
      <w:pPr>
        <w:pStyle w:val="ListParagraph"/>
        <w:ind w:left="0"/>
        <w:rPr>
          <w:rFonts w:ascii="Cambria" w:hAnsi="Cambria"/>
        </w:rPr>
      </w:pPr>
    </w:p>
    <w:p w:rsidR="009B7B9A" w:rsidRPr="00357DED" w:rsidRDefault="009B7B9A" w:rsidP="009B7B9A">
      <w:pPr>
        <w:pStyle w:val="ListParagraph"/>
        <w:ind w:left="1440"/>
        <w:rPr>
          <w:rFonts w:ascii="Cambria" w:hAnsi="Cambria"/>
        </w:rPr>
      </w:pPr>
      <w:r w:rsidRPr="00357DED">
        <w:rPr>
          <w:rFonts w:ascii="Cambria" w:hAnsi="Cambria"/>
        </w:rPr>
        <w:t>Please be considerate of those individuals who are required to enter your former laboratory once it is vacated.  Be mindful that these individuals may not be familiar with the hazards associated with the materials in your laboratory or equipment utilized in your research.</w:t>
      </w:r>
      <w:r w:rsidR="00BD1407" w:rsidRPr="00357DED">
        <w:rPr>
          <w:rFonts w:ascii="Cambria" w:hAnsi="Cambria"/>
        </w:rPr>
        <w:t xml:space="preserve">  </w:t>
      </w:r>
      <w:r w:rsidR="00A451BD" w:rsidRPr="00357DED">
        <w:rPr>
          <w:rFonts w:ascii="Cambria" w:hAnsi="Cambria"/>
          <w:b/>
          <w:color w:val="FF0000"/>
        </w:rPr>
        <w:t xml:space="preserve">**Please note that the PI </w:t>
      </w:r>
      <w:r w:rsidR="00A64C68" w:rsidRPr="00357DED">
        <w:rPr>
          <w:rFonts w:ascii="Cambria" w:hAnsi="Cambria"/>
          <w:b/>
          <w:color w:val="FF0000"/>
        </w:rPr>
        <w:t xml:space="preserve">MUST </w:t>
      </w:r>
      <w:r w:rsidR="00BD1407" w:rsidRPr="00357DED">
        <w:rPr>
          <w:rFonts w:ascii="Cambria" w:hAnsi="Cambria"/>
          <w:b/>
          <w:color w:val="FF0000"/>
        </w:rPr>
        <w:t xml:space="preserve">contact the Biosafety Officer </w:t>
      </w:r>
      <w:r w:rsidR="00802E57" w:rsidRPr="00357DED">
        <w:rPr>
          <w:rFonts w:ascii="Cambria" w:hAnsi="Cambria"/>
          <w:b/>
          <w:color w:val="FF0000"/>
        </w:rPr>
        <w:t>five (</w:t>
      </w:r>
      <w:r w:rsidR="00C5516D" w:rsidRPr="00357DED">
        <w:rPr>
          <w:rFonts w:ascii="Cambria" w:hAnsi="Cambria"/>
          <w:b/>
          <w:color w:val="FF0000"/>
        </w:rPr>
        <w:t>5</w:t>
      </w:r>
      <w:r w:rsidR="00802E57" w:rsidRPr="00357DED">
        <w:rPr>
          <w:rFonts w:ascii="Cambria" w:hAnsi="Cambria"/>
          <w:b/>
          <w:color w:val="FF0000"/>
        </w:rPr>
        <w:t>)</w:t>
      </w:r>
      <w:r w:rsidR="00C5516D" w:rsidRPr="00357DED">
        <w:rPr>
          <w:rFonts w:ascii="Cambria" w:hAnsi="Cambria"/>
          <w:b/>
          <w:color w:val="FF0000"/>
        </w:rPr>
        <w:t xml:space="preserve"> business</w:t>
      </w:r>
      <w:r w:rsidR="00BD1407" w:rsidRPr="00357DED">
        <w:rPr>
          <w:rFonts w:ascii="Cambria" w:hAnsi="Cambria"/>
          <w:b/>
          <w:color w:val="FF0000"/>
        </w:rPr>
        <w:t xml:space="preserve"> days before the official vacate date to ensure that the lab is properly cleaned</w:t>
      </w:r>
      <w:r w:rsidR="00A451BD" w:rsidRPr="00357DED">
        <w:rPr>
          <w:rFonts w:ascii="Cambria" w:hAnsi="Cambria"/>
          <w:b/>
          <w:color w:val="FF0000"/>
        </w:rPr>
        <w:t xml:space="preserve"> and that all equipment and supplies are removed</w:t>
      </w:r>
      <w:r w:rsidR="00BD1407" w:rsidRPr="00357DED">
        <w:rPr>
          <w:rFonts w:ascii="Cambria" w:hAnsi="Cambria"/>
          <w:b/>
          <w:color w:val="FF0000"/>
        </w:rPr>
        <w:t>.</w:t>
      </w:r>
    </w:p>
    <w:p w:rsidR="009B7B9A" w:rsidRPr="00357DED" w:rsidRDefault="009B7B9A" w:rsidP="009B7B9A">
      <w:pPr>
        <w:pStyle w:val="ListParagraph"/>
        <w:ind w:left="2160"/>
        <w:rPr>
          <w:rFonts w:ascii="Cambria" w:hAnsi="Cambria"/>
        </w:rPr>
      </w:pPr>
    </w:p>
    <w:p w:rsidR="00B107C8" w:rsidRPr="00357DED" w:rsidRDefault="009372A2" w:rsidP="009372A2">
      <w:pPr>
        <w:pStyle w:val="ListParagraph"/>
        <w:numPr>
          <w:ilvl w:val="1"/>
          <w:numId w:val="3"/>
        </w:numPr>
        <w:rPr>
          <w:rFonts w:ascii="Cambria" w:hAnsi="Cambria"/>
        </w:rPr>
      </w:pPr>
      <w:bookmarkStart w:id="0" w:name="_GoBack"/>
      <w:bookmarkEnd w:id="0"/>
      <w:r w:rsidRPr="00357DED">
        <w:rPr>
          <w:rFonts w:ascii="Cambria" w:hAnsi="Cambria"/>
        </w:rPr>
        <w:t xml:space="preserve">Empty, disinfect, and/or clean all equipment before packing or moving (e.g., refrigerators, centrifuges, </w:t>
      </w:r>
      <w:r w:rsidR="00BC20C5" w:rsidRPr="00357DED">
        <w:rPr>
          <w:rFonts w:ascii="Cambria" w:hAnsi="Cambria"/>
        </w:rPr>
        <w:t>etc.</w:t>
      </w:r>
      <w:r w:rsidRPr="00357DED">
        <w:rPr>
          <w:rFonts w:ascii="Cambria" w:hAnsi="Cambria"/>
        </w:rPr>
        <w:t>)</w:t>
      </w:r>
      <w:r w:rsidR="000C6782" w:rsidRPr="00357DED">
        <w:rPr>
          <w:rFonts w:ascii="Cambria" w:hAnsi="Cambria"/>
        </w:rPr>
        <w:t>.</w:t>
      </w:r>
      <w:r w:rsidRPr="00357DED">
        <w:rPr>
          <w:rFonts w:ascii="Cambria" w:hAnsi="Cambria"/>
        </w:rPr>
        <w:t xml:space="preserve">  All lab equipment must be cleared by the Research and Development Office prior to disposal or relocation.</w:t>
      </w:r>
    </w:p>
    <w:p w:rsidR="0097086B" w:rsidRPr="00357DED" w:rsidRDefault="0097086B" w:rsidP="0097086B">
      <w:pPr>
        <w:pStyle w:val="ListParagraph"/>
        <w:ind w:left="0"/>
        <w:rPr>
          <w:rFonts w:ascii="Cambria" w:hAnsi="Cambria"/>
        </w:rPr>
      </w:pPr>
    </w:p>
    <w:p w:rsidR="009372A2" w:rsidRPr="00357DED" w:rsidRDefault="009372A2" w:rsidP="009372A2">
      <w:pPr>
        <w:pStyle w:val="ListParagraph"/>
        <w:numPr>
          <w:ilvl w:val="1"/>
          <w:numId w:val="3"/>
        </w:numPr>
        <w:rPr>
          <w:rFonts w:ascii="Cambria" w:hAnsi="Cambria"/>
        </w:rPr>
      </w:pPr>
      <w:r w:rsidRPr="00357DED">
        <w:rPr>
          <w:rFonts w:ascii="Cambria" w:hAnsi="Cambria"/>
        </w:rPr>
        <w:t>Disinfect and/or clean all potentially contaminated surfaces thoroughly, including surfaces of chemical fume hoods, bench tops, shelves, and biological safety cabinets</w:t>
      </w:r>
      <w:r w:rsidR="000C6782" w:rsidRPr="00357DED">
        <w:rPr>
          <w:rFonts w:ascii="Cambria" w:hAnsi="Cambria"/>
        </w:rPr>
        <w:t>.</w:t>
      </w:r>
    </w:p>
    <w:p w:rsidR="0097086B" w:rsidRPr="00357DED" w:rsidRDefault="0097086B" w:rsidP="0097086B">
      <w:pPr>
        <w:pStyle w:val="ListParagraph"/>
        <w:ind w:left="0"/>
        <w:rPr>
          <w:rFonts w:ascii="Cambria" w:hAnsi="Cambria"/>
        </w:rPr>
      </w:pPr>
    </w:p>
    <w:p w:rsidR="0097086B" w:rsidRPr="00357DED" w:rsidRDefault="00AD1141" w:rsidP="009372A2">
      <w:pPr>
        <w:pStyle w:val="ListParagraph"/>
        <w:numPr>
          <w:ilvl w:val="1"/>
          <w:numId w:val="3"/>
        </w:numPr>
        <w:rPr>
          <w:rFonts w:ascii="Cambria" w:hAnsi="Cambria"/>
        </w:rPr>
      </w:pPr>
      <w:r w:rsidRPr="00357DED">
        <w:rPr>
          <w:rFonts w:ascii="Cambria" w:hAnsi="Cambria"/>
        </w:rPr>
        <w:t>Remove regulators from all compressed gas cylinders, replace the protective cap, and ensure proper labeling</w:t>
      </w:r>
      <w:r w:rsidR="008A0696" w:rsidRPr="00357DED">
        <w:rPr>
          <w:rFonts w:ascii="Cambria" w:hAnsi="Cambria"/>
        </w:rPr>
        <w:t>.</w:t>
      </w:r>
      <w:r w:rsidRPr="00357DED">
        <w:rPr>
          <w:rFonts w:ascii="Cambria" w:hAnsi="Cambria"/>
        </w:rPr>
        <w:t xml:space="preserve">  Contact the gas distributor to </w:t>
      </w:r>
      <w:r w:rsidR="00EC2575" w:rsidRPr="00357DED">
        <w:rPr>
          <w:rFonts w:ascii="Cambria" w:hAnsi="Cambria"/>
        </w:rPr>
        <w:t>have</w:t>
      </w:r>
      <w:r w:rsidRPr="00357DED">
        <w:rPr>
          <w:rFonts w:ascii="Cambria" w:hAnsi="Cambria"/>
        </w:rPr>
        <w:t xml:space="preserve"> the </w:t>
      </w:r>
      <w:r w:rsidR="00EC2575" w:rsidRPr="00357DED">
        <w:rPr>
          <w:rFonts w:ascii="Cambria" w:hAnsi="Cambria"/>
        </w:rPr>
        <w:t xml:space="preserve">gas </w:t>
      </w:r>
      <w:r w:rsidRPr="00357DED">
        <w:rPr>
          <w:rFonts w:ascii="Cambria" w:hAnsi="Cambria"/>
        </w:rPr>
        <w:t>cylinders</w:t>
      </w:r>
      <w:r w:rsidR="00EC2575" w:rsidRPr="00357DED">
        <w:rPr>
          <w:rFonts w:ascii="Cambria" w:hAnsi="Cambria"/>
        </w:rPr>
        <w:t xml:space="preserve"> removed</w:t>
      </w:r>
      <w:r w:rsidRPr="00357DED">
        <w:rPr>
          <w:rFonts w:ascii="Cambria" w:hAnsi="Cambria"/>
        </w:rPr>
        <w:t>.</w:t>
      </w:r>
      <w:r w:rsidR="000C6782" w:rsidRPr="00357DED">
        <w:rPr>
          <w:rFonts w:ascii="Cambria" w:hAnsi="Cambria"/>
        </w:rPr>
        <w:t xml:space="preserve"> </w:t>
      </w:r>
    </w:p>
    <w:p w:rsidR="00201F3B" w:rsidRPr="00357DED" w:rsidRDefault="00201F3B" w:rsidP="00201F3B">
      <w:pPr>
        <w:pStyle w:val="ListParagraph"/>
        <w:rPr>
          <w:rFonts w:ascii="Cambria" w:hAnsi="Cambria"/>
        </w:rPr>
      </w:pPr>
    </w:p>
    <w:p w:rsidR="00201F3B" w:rsidRPr="00357DED" w:rsidRDefault="00EC2575" w:rsidP="009372A2">
      <w:pPr>
        <w:pStyle w:val="ListParagraph"/>
        <w:numPr>
          <w:ilvl w:val="1"/>
          <w:numId w:val="3"/>
        </w:numPr>
        <w:rPr>
          <w:rFonts w:ascii="Cambria" w:hAnsi="Cambria"/>
        </w:rPr>
      </w:pPr>
      <w:r w:rsidRPr="00357DED">
        <w:rPr>
          <w:rFonts w:ascii="Cambria" w:hAnsi="Cambria"/>
        </w:rPr>
        <w:t>Laboratory personnel are NOT permitted to perform or certify the decontamination of a biological safety cabinet (BSC) that is being moved.  A vendor must be contacted to conduct the decontamination process and certify the decontamination of the BSC prior to moving it.</w:t>
      </w:r>
    </w:p>
    <w:p w:rsidR="001A3CBB" w:rsidRPr="00357DED" w:rsidRDefault="001A3CBB" w:rsidP="001A3CBB">
      <w:pPr>
        <w:pStyle w:val="ListParagraph"/>
        <w:rPr>
          <w:rFonts w:ascii="Cambria" w:hAnsi="Cambria"/>
        </w:rPr>
      </w:pPr>
    </w:p>
    <w:p w:rsidR="001A3CBB" w:rsidRPr="00357DED" w:rsidRDefault="001A3CBB" w:rsidP="009372A2">
      <w:pPr>
        <w:pStyle w:val="ListParagraph"/>
        <w:numPr>
          <w:ilvl w:val="1"/>
          <w:numId w:val="3"/>
        </w:numPr>
        <w:rPr>
          <w:rFonts w:ascii="Cambria" w:hAnsi="Cambria"/>
        </w:rPr>
      </w:pPr>
      <w:r w:rsidRPr="00357DED">
        <w:rPr>
          <w:rFonts w:ascii="Cambria" w:hAnsi="Cambria"/>
        </w:rPr>
        <w:t xml:space="preserve">Departing personnel must </w:t>
      </w:r>
      <w:r w:rsidR="00021257" w:rsidRPr="00357DED">
        <w:rPr>
          <w:rFonts w:ascii="Cambria" w:hAnsi="Cambria"/>
        </w:rPr>
        <w:t xml:space="preserve">go through the Clearance Process and </w:t>
      </w:r>
      <w:r w:rsidRPr="00357DED">
        <w:rPr>
          <w:rFonts w:ascii="Cambria" w:hAnsi="Cambria"/>
        </w:rPr>
        <w:t>return thei</w:t>
      </w:r>
      <w:r w:rsidR="00F73046" w:rsidRPr="00357DED">
        <w:rPr>
          <w:rFonts w:ascii="Cambria" w:hAnsi="Cambria"/>
        </w:rPr>
        <w:t xml:space="preserve">r identification badges </w:t>
      </w:r>
      <w:r w:rsidR="00021257" w:rsidRPr="00357DED">
        <w:rPr>
          <w:rFonts w:ascii="Cambria" w:hAnsi="Cambria"/>
        </w:rPr>
        <w:t>to the VA Police Department.  K</w:t>
      </w:r>
      <w:r w:rsidRPr="00357DED">
        <w:rPr>
          <w:rFonts w:ascii="Cambria" w:hAnsi="Cambria"/>
        </w:rPr>
        <w:t xml:space="preserve">eys </w:t>
      </w:r>
      <w:r w:rsidR="00021257" w:rsidRPr="00357DED">
        <w:rPr>
          <w:rFonts w:ascii="Cambria" w:hAnsi="Cambria"/>
        </w:rPr>
        <w:t xml:space="preserve">to research laboratories must be given </w:t>
      </w:r>
      <w:r w:rsidRPr="00357DED">
        <w:rPr>
          <w:rFonts w:ascii="Cambria" w:hAnsi="Cambria"/>
        </w:rPr>
        <w:t xml:space="preserve">to the </w:t>
      </w:r>
      <w:r w:rsidR="00AE5126" w:rsidRPr="00357DED">
        <w:rPr>
          <w:rFonts w:ascii="Cambria" w:hAnsi="Cambria"/>
        </w:rPr>
        <w:t>Business Manager</w:t>
      </w:r>
      <w:r w:rsidR="00BA6CF2" w:rsidRPr="00357DED">
        <w:rPr>
          <w:rFonts w:ascii="Cambria" w:hAnsi="Cambria"/>
        </w:rPr>
        <w:t>/R&amp;D (</w:t>
      </w:r>
      <w:r w:rsidRPr="00357DED">
        <w:rPr>
          <w:rFonts w:ascii="Cambria" w:hAnsi="Cambria"/>
        </w:rPr>
        <w:t>412-</w:t>
      </w:r>
      <w:r w:rsidR="001C1EE1" w:rsidRPr="00357DED">
        <w:rPr>
          <w:rFonts w:ascii="Cambria" w:hAnsi="Cambria"/>
        </w:rPr>
        <w:t>360</w:t>
      </w:r>
      <w:r w:rsidRPr="00357DED">
        <w:rPr>
          <w:rFonts w:ascii="Cambria" w:hAnsi="Cambria"/>
        </w:rPr>
        <w:t>-</w:t>
      </w:r>
      <w:r w:rsidR="001C1EE1" w:rsidRPr="00357DED">
        <w:rPr>
          <w:rFonts w:ascii="Cambria" w:hAnsi="Cambria"/>
        </w:rPr>
        <w:t>2</w:t>
      </w:r>
      <w:r w:rsidRPr="00357DED">
        <w:rPr>
          <w:rFonts w:ascii="Cambria" w:hAnsi="Cambria"/>
        </w:rPr>
        <w:t>387).</w:t>
      </w:r>
      <w:r w:rsidR="00B06186" w:rsidRPr="00357DED">
        <w:rPr>
          <w:rFonts w:ascii="Cambria" w:hAnsi="Cambria"/>
        </w:rPr>
        <w:t xml:space="preserve">  If personnel are considered Without Compensation (WOC), then the badge </w:t>
      </w:r>
      <w:r w:rsidR="00E40424" w:rsidRPr="00357DED">
        <w:rPr>
          <w:rFonts w:ascii="Cambria" w:hAnsi="Cambria"/>
        </w:rPr>
        <w:t>and keys must</w:t>
      </w:r>
      <w:r w:rsidR="00B06186" w:rsidRPr="00357DED">
        <w:rPr>
          <w:rFonts w:ascii="Cambria" w:hAnsi="Cambria"/>
        </w:rPr>
        <w:t xml:space="preserve"> be turned in to the </w:t>
      </w:r>
      <w:r w:rsidR="00BA729C" w:rsidRPr="00357DED">
        <w:rPr>
          <w:rFonts w:ascii="Cambria" w:hAnsi="Cambria"/>
        </w:rPr>
        <w:t xml:space="preserve">R&amp;D </w:t>
      </w:r>
      <w:r w:rsidR="00951C16" w:rsidRPr="00357DED">
        <w:rPr>
          <w:rFonts w:ascii="Cambria" w:hAnsi="Cambria"/>
        </w:rPr>
        <w:t>Program Support Assistant</w:t>
      </w:r>
      <w:r w:rsidR="00B06186" w:rsidRPr="00357DED">
        <w:rPr>
          <w:rFonts w:ascii="Cambria" w:hAnsi="Cambria"/>
        </w:rPr>
        <w:t xml:space="preserve"> (412-</w:t>
      </w:r>
      <w:r w:rsidR="00154BC4" w:rsidRPr="00357DED">
        <w:rPr>
          <w:rFonts w:ascii="Cambria" w:hAnsi="Cambria"/>
        </w:rPr>
        <w:t>360</w:t>
      </w:r>
      <w:r w:rsidR="00B06186" w:rsidRPr="00357DED">
        <w:rPr>
          <w:rFonts w:ascii="Cambria" w:hAnsi="Cambria"/>
        </w:rPr>
        <w:t>-</w:t>
      </w:r>
      <w:r w:rsidR="00154BC4" w:rsidRPr="00357DED">
        <w:rPr>
          <w:rFonts w:ascii="Cambria" w:hAnsi="Cambria"/>
        </w:rPr>
        <w:t>238</w:t>
      </w:r>
      <w:r w:rsidR="00951C16" w:rsidRPr="00357DED">
        <w:rPr>
          <w:rFonts w:ascii="Cambria" w:hAnsi="Cambria"/>
        </w:rPr>
        <w:t>0</w:t>
      </w:r>
      <w:r w:rsidR="00B06186" w:rsidRPr="00357DED">
        <w:rPr>
          <w:rFonts w:ascii="Cambria" w:hAnsi="Cambria"/>
        </w:rPr>
        <w:t>).</w:t>
      </w:r>
      <w:r w:rsidRPr="00357DED">
        <w:rPr>
          <w:rFonts w:ascii="Cambria" w:hAnsi="Cambria"/>
        </w:rPr>
        <w:t xml:space="preserve"> </w:t>
      </w:r>
    </w:p>
    <w:p w:rsidR="001A3CBB" w:rsidRPr="00357DED" w:rsidRDefault="001A3CBB" w:rsidP="001A3CBB">
      <w:pPr>
        <w:pStyle w:val="ListParagraph"/>
        <w:rPr>
          <w:rFonts w:ascii="Cambria" w:hAnsi="Cambria"/>
        </w:rPr>
      </w:pPr>
    </w:p>
    <w:p w:rsidR="00B47D05" w:rsidRPr="00357DED" w:rsidRDefault="001A3CBB" w:rsidP="00D733CD">
      <w:pPr>
        <w:pStyle w:val="ListParagraph"/>
        <w:rPr>
          <w:rFonts w:ascii="Cambria" w:hAnsi="Cambria"/>
          <w:b/>
        </w:rPr>
      </w:pPr>
      <w:r w:rsidRPr="00357DED">
        <w:rPr>
          <w:rFonts w:ascii="Cambria" w:hAnsi="Cambria"/>
          <w:b/>
        </w:rPr>
        <w:t>Radiation-Producing Devices and Materials</w:t>
      </w:r>
      <w:r w:rsidR="00B47D05" w:rsidRPr="00357DED">
        <w:rPr>
          <w:rFonts w:ascii="Cambria" w:hAnsi="Cambria"/>
          <w:b/>
        </w:rPr>
        <w:t>:</w:t>
      </w:r>
    </w:p>
    <w:p w:rsidR="001A3CBB" w:rsidRPr="00357DED" w:rsidRDefault="001A3CBB" w:rsidP="001A3CBB">
      <w:pPr>
        <w:pStyle w:val="ListParagraph"/>
        <w:numPr>
          <w:ilvl w:val="0"/>
          <w:numId w:val="5"/>
        </w:numPr>
        <w:rPr>
          <w:rFonts w:ascii="Cambria" w:hAnsi="Cambria"/>
        </w:rPr>
      </w:pPr>
      <w:r w:rsidRPr="00357DED">
        <w:rPr>
          <w:rFonts w:ascii="Cambria" w:hAnsi="Cambria"/>
        </w:rPr>
        <w:t>If any radiation-emitting equipment (e.g., X-ray device) will be removed, relocated, or discarded, the Radiation Safety Officer must be notified (412-360-3221).</w:t>
      </w:r>
    </w:p>
    <w:p w:rsidR="00B47D05" w:rsidRPr="00357DED" w:rsidRDefault="00B47D05" w:rsidP="00B47D05">
      <w:pPr>
        <w:pStyle w:val="ListParagraph"/>
        <w:ind w:left="1080"/>
        <w:rPr>
          <w:rFonts w:ascii="Cambria" w:hAnsi="Cambria"/>
        </w:rPr>
      </w:pPr>
    </w:p>
    <w:p w:rsidR="001A3CBB" w:rsidRPr="00357DED" w:rsidRDefault="001A3CBB" w:rsidP="00D45E1D">
      <w:pPr>
        <w:pStyle w:val="ListParagraph"/>
        <w:numPr>
          <w:ilvl w:val="0"/>
          <w:numId w:val="5"/>
        </w:numPr>
        <w:rPr>
          <w:rFonts w:ascii="Cambria" w:hAnsi="Cambria"/>
        </w:rPr>
      </w:pPr>
      <w:r w:rsidRPr="00357DED">
        <w:rPr>
          <w:rFonts w:ascii="Cambria" w:hAnsi="Cambria"/>
        </w:rPr>
        <w:t>If any radioactive</w:t>
      </w:r>
      <w:r w:rsidR="00B47D05" w:rsidRPr="00357DED">
        <w:rPr>
          <w:rFonts w:ascii="Cambria" w:hAnsi="Cambria"/>
        </w:rPr>
        <w:t xml:space="preserve"> material</w:t>
      </w:r>
      <w:r w:rsidRPr="00357DED">
        <w:rPr>
          <w:rFonts w:ascii="Cambria" w:hAnsi="Cambria"/>
        </w:rPr>
        <w:t xml:space="preserve"> is stored in the laboratory, </w:t>
      </w:r>
      <w:r w:rsidR="00763291" w:rsidRPr="00357DED">
        <w:rPr>
          <w:rFonts w:ascii="Cambria" w:hAnsi="Cambria"/>
        </w:rPr>
        <w:t>c</w:t>
      </w:r>
      <w:r w:rsidR="00C92DF8" w:rsidRPr="00357DED">
        <w:rPr>
          <w:rFonts w:ascii="Cambria" w:hAnsi="Cambria"/>
        </w:rPr>
        <w:t>ontact the Radiation Safety O</w:t>
      </w:r>
      <w:r w:rsidR="00D45E1D" w:rsidRPr="00357DED">
        <w:rPr>
          <w:rFonts w:ascii="Cambria" w:hAnsi="Cambria"/>
        </w:rPr>
        <w:t>fficer to relocate any radioactive materials to another laboratory, to dispose of radioactive materials, to remove these materials from the VAPHS radioactive material inventory, and to conduct a final survey of the vacated area.</w:t>
      </w:r>
      <w:r w:rsidR="00AA271D" w:rsidRPr="00357DED">
        <w:rPr>
          <w:rFonts w:ascii="Cambria" w:hAnsi="Cambria"/>
        </w:rPr>
        <w:t xml:space="preserve">  It is recommended to contact the Radiation Safety Officer at least </w:t>
      </w:r>
      <w:r w:rsidR="00B97D52" w:rsidRPr="00357DED">
        <w:rPr>
          <w:rFonts w:ascii="Cambria" w:hAnsi="Cambria"/>
        </w:rPr>
        <w:t>sixty (</w:t>
      </w:r>
      <w:r w:rsidR="00AA271D" w:rsidRPr="00357DED">
        <w:rPr>
          <w:rFonts w:ascii="Cambria" w:hAnsi="Cambria"/>
        </w:rPr>
        <w:t>60</w:t>
      </w:r>
      <w:r w:rsidR="00B97D52" w:rsidRPr="00357DED">
        <w:rPr>
          <w:rFonts w:ascii="Cambria" w:hAnsi="Cambria"/>
        </w:rPr>
        <w:t>)</w:t>
      </w:r>
      <w:r w:rsidR="00AA271D" w:rsidRPr="00357DED">
        <w:rPr>
          <w:rFonts w:ascii="Cambria" w:hAnsi="Cambria"/>
        </w:rPr>
        <w:t xml:space="preserve"> days before vacating the laboratory space.</w:t>
      </w:r>
    </w:p>
    <w:p w:rsidR="00EE3A85" w:rsidRPr="00357DED" w:rsidRDefault="00EE3A85" w:rsidP="00D733CD">
      <w:pPr>
        <w:pStyle w:val="ListParagraph"/>
        <w:rPr>
          <w:rFonts w:ascii="Cambria" w:hAnsi="Cambria"/>
          <w:b/>
        </w:rPr>
      </w:pPr>
    </w:p>
    <w:p w:rsidR="00F7667D" w:rsidRPr="00357DED" w:rsidRDefault="00F7667D" w:rsidP="00D733CD">
      <w:pPr>
        <w:pStyle w:val="ListParagraph"/>
        <w:rPr>
          <w:rFonts w:ascii="Cambria" w:hAnsi="Cambria"/>
          <w:b/>
        </w:rPr>
      </w:pPr>
      <w:r w:rsidRPr="00357DED">
        <w:rPr>
          <w:rFonts w:ascii="Cambria" w:hAnsi="Cambria"/>
          <w:b/>
        </w:rPr>
        <w:t>Studies Using Animal Subjects:</w:t>
      </w:r>
    </w:p>
    <w:p w:rsidR="00F7667D" w:rsidRPr="00357DED" w:rsidRDefault="00F7667D" w:rsidP="00F7667D">
      <w:pPr>
        <w:pStyle w:val="ListParagraph"/>
        <w:numPr>
          <w:ilvl w:val="0"/>
          <w:numId w:val="5"/>
        </w:numPr>
        <w:rPr>
          <w:rFonts w:ascii="Cambria" w:hAnsi="Cambria"/>
        </w:rPr>
      </w:pPr>
      <w:r w:rsidRPr="00357DED">
        <w:rPr>
          <w:rFonts w:ascii="Cambria" w:hAnsi="Cambria"/>
        </w:rPr>
        <w:t xml:space="preserve">All Institutional Animal Care and Use Committee (IACUC) protocols for which the departing investigator is designated as the PI must be </w:t>
      </w:r>
      <w:r w:rsidR="00E45157" w:rsidRPr="00357DED">
        <w:rPr>
          <w:rFonts w:ascii="Cambria" w:hAnsi="Cambria"/>
        </w:rPr>
        <w:t xml:space="preserve">closed.  A study closure form must be completed and </w:t>
      </w:r>
      <w:r w:rsidR="00E45157" w:rsidRPr="00357DED">
        <w:rPr>
          <w:rFonts w:ascii="Cambria" w:hAnsi="Cambria"/>
        </w:rPr>
        <w:lastRenderedPageBreak/>
        <w:t>submitted before approval for closure can be granted.  Alternatively, if the protocol is going to be maintained by another PI at VAPHS, then this information must be designated via</w:t>
      </w:r>
      <w:r w:rsidR="001A526E" w:rsidRPr="00357DED">
        <w:rPr>
          <w:rFonts w:ascii="Cambria" w:hAnsi="Cambria"/>
        </w:rPr>
        <w:t xml:space="preserve"> an ACORP Amendment </w:t>
      </w:r>
      <w:r w:rsidR="007D298D" w:rsidRPr="00357DED">
        <w:rPr>
          <w:rFonts w:ascii="Cambria" w:hAnsi="Cambria"/>
        </w:rPr>
        <w:t>F</w:t>
      </w:r>
      <w:r w:rsidRPr="00357DED">
        <w:rPr>
          <w:rFonts w:ascii="Cambria" w:hAnsi="Cambria"/>
        </w:rPr>
        <w:t>orm.</w:t>
      </w:r>
    </w:p>
    <w:p w:rsidR="00F7667D" w:rsidRPr="00357DED" w:rsidRDefault="00F7667D" w:rsidP="00F7667D">
      <w:pPr>
        <w:pStyle w:val="ListParagraph"/>
        <w:ind w:left="1080"/>
        <w:rPr>
          <w:rFonts w:ascii="Cambria" w:hAnsi="Cambria"/>
        </w:rPr>
      </w:pPr>
    </w:p>
    <w:p w:rsidR="00BC3E4C" w:rsidRPr="00357DED" w:rsidRDefault="00BC3E4C" w:rsidP="00F7667D">
      <w:pPr>
        <w:pStyle w:val="ListParagraph"/>
        <w:numPr>
          <w:ilvl w:val="0"/>
          <w:numId w:val="5"/>
        </w:numPr>
        <w:rPr>
          <w:rFonts w:ascii="Cambria" w:hAnsi="Cambria"/>
        </w:rPr>
      </w:pPr>
      <w:r w:rsidRPr="00357DED">
        <w:rPr>
          <w:rFonts w:ascii="Cambria" w:hAnsi="Cambria"/>
        </w:rPr>
        <w:t xml:space="preserve">Prior to </w:t>
      </w:r>
      <w:r w:rsidR="003A7A1E" w:rsidRPr="00357DED">
        <w:rPr>
          <w:rFonts w:ascii="Cambria" w:hAnsi="Cambria"/>
        </w:rPr>
        <w:t>terminat</w:t>
      </w:r>
      <w:r w:rsidRPr="00357DED">
        <w:rPr>
          <w:rFonts w:ascii="Cambria" w:hAnsi="Cambria"/>
        </w:rPr>
        <w:t xml:space="preserve">ing IACUC </w:t>
      </w:r>
      <w:r w:rsidR="003A7A1E" w:rsidRPr="00357DED">
        <w:rPr>
          <w:rFonts w:ascii="Cambria" w:hAnsi="Cambria"/>
        </w:rPr>
        <w:t>protocol</w:t>
      </w:r>
      <w:r w:rsidRPr="00357DED">
        <w:rPr>
          <w:rFonts w:ascii="Cambria" w:hAnsi="Cambria"/>
        </w:rPr>
        <w:t xml:space="preserve">s, all animals assigned to those protocols must be euthanized as specified in the protocol, transferred to another </w:t>
      </w:r>
      <w:r w:rsidR="00E352E4" w:rsidRPr="00357DED">
        <w:rPr>
          <w:rFonts w:ascii="Cambria" w:hAnsi="Cambria"/>
        </w:rPr>
        <w:t>i</w:t>
      </w:r>
      <w:r w:rsidRPr="00357DED">
        <w:rPr>
          <w:rFonts w:ascii="Cambria" w:hAnsi="Cambria"/>
        </w:rPr>
        <w:t>n</w:t>
      </w:r>
      <w:r w:rsidR="00E352E4" w:rsidRPr="00357DED">
        <w:rPr>
          <w:rFonts w:ascii="Cambria" w:hAnsi="Cambria"/>
        </w:rPr>
        <w:t>v</w:t>
      </w:r>
      <w:r w:rsidRPr="00357DED">
        <w:rPr>
          <w:rFonts w:ascii="Cambria" w:hAnsi="Cambria"/>
        </w:rPr>
        <w:t>estigator’s protocol, or exported to the institution to where the PI is relocating</w:t>
      </w:r>
      <w:r w:rsidR="00F7667D" w:rsidRPr="00357DED">
        <w:rPr>
          <w:rFonts w:ascii="Cambria" w:hAnsi="Cambria"/>
        </w:rPr>
        <w:t>.</w:t>
      </w:r>
      <w:r w:rsidRPr="00357DED">
        <w:rPr>
          <w:rFonts w:ascii="Cambria" w:hAnsi="Cambria"/>
        </w:rPr>
        <w:t xml:space="preserve">  Animals can only be transferred if they have not, </w:t>
      </w:r>
      <w:r w:rsidR="000565E7" w:rsidRPr="00357DED">
        <w:rPr>
          <w:rFonts w:ascii="Cambria" w:hAnsi="Cambria"/>
        </w:rPr>
        <w:t>yet</w:t>
      </w:r>
      <w:r w:rsidRPr="00357DED">
        <w:rPr>
          <w:rFonts w:ascii="Cambria" w:hAnsi="Cambria"/>
        </w:rPr>
        <w:t xml:space="preserve">, undergone manipulation, or the recipient protocol specifies the same manipulation procedures as the original protocol.  To export rodents to another institution, the PI must </w:t>
      </w:r>
      <w:r w:rsidR="00493F1C" w:rsidRPr="00357DED">
        <w:rPr>
          <w:rFonts w:ascii="Cambria" w:hAnsi="Cambria"/>
        </w:rPr>
        <w:t>obtain written approval from the Animal Research Facility Supervisor (or designee).  Additional information on this can be found in the VAPHS Policy #A-006.</w:t>
      </w:r>
    </w:p>
    <w:p w:rsidR="00BC3E4C" w:rsidRPr="00357DED" w:rsidRDefault="00BC3E4C" w:rsidP="00BC3E4C">
      <w:pPr>
        <w:pStyle w:val="ListParagraph"/>
        <w:rPr>
          <w:rFonts w:ascii="Cambria" w:hAnsi="Cambria"/>
        </w:rPr>
      </w:pPr>
    </w:p>
    <w:p w:rsidR="00F7667D" w:rsidRPr="00357DED" w:rsidRDefault="00BC3E4C" w:rsidP="00F7667D">
      <w:pPr>
        <w:pStyle w:val="ListParagraph"/>
        <w:numPr>
          <w:ilvl w:val="0"/>
          <w:numId w:val="5"/>
        </w:numPr>
        <w:rPr>
          <w:rFonts w:ascii="Cambria" w:hAnsi="Cambria"/>
        </w:rPr>
      </w:pPr>
      <w:r w:rsidRPr="00357DED">
        <w:rPr>
          <w:rFonts w:ascii="Cambria" w:hAnsi="Cambria"/>
        </w:rPr>
        <w:t xml:space="preserve">If any departing personnel hold access to the secure animal housing facilities, the Animal Research </w:t>
      </w:r>
      <w:r w:rsidR="00923B6E" w:rsidRPr="00357DED">
        <w:rPr>
          <w:rFonts w:ascii="Cambria" w:hAnsi="Cambria"/>
        </w:rPr>
        <w:t>Supervisor (412-360-6107)</w:t>
      </w:r>
      <w:r w:rsidRPr="00357DED">
        <w:rPr>
          <w:rFonts w:ascii="Cambria" w:hAnsi="Cambria"/>
        </w:rPr>
        <w:t xml:space="preserve"> must be informed of the individual’s departure.</w:t>
      </w:r>
      <w:r w:rsidR="00F7667D" w:rsidRPr="00357DED">
        <w:rPr>
          <w:rFonts w:ascii="Cambria" w:hAnsi="Cambria"/>
        </w:rPr>
        <w:t xml:space="preserve"> </w:t>
      </w:r>
    </w:p>
    <w:p w:rsidR="0070419A" w:rsidRPr="00357DED" w:rsidRDefault="0070419A" w:rsidP="0070419A">
      <w:pPr>
        <w:pStyle w:val="ListParagraph"/>
        <w:rPr>
          <w:rFonts w:ascii="Cambria" w:hAnsi="Cambria"/>
        </w:rPr>
      </w:pPr>
    </w:p>
    <w:p w:rsidR="003A7A1E" w:rsidRPr="00357DED" w:rsidRDefault="00BA729C" w:rsidP="003A7A1E">
      <w:pPr>
        <w:pStyle w:val="ListParagraph"/>
        <w:numPr>
          <w:ilvl w:val="0"/>
          <w:numId w:val="5"/>
        </w:numPr>
        <w:rPr>
          <w:rFonts w:ascii="Cambria" w:hAnsi="Cambria"/>
        </w:rPr>
      </w:pPr>
      <w:r w:rsidRPr="00357DED">
        <w:rPr>
          <w:rFonts w:ascii="Cambria" w:hAnsi="Cambria"/>
        </w:rPr>
        <w:t>The</w:t>
      </w:r>
      <w:r w:rsidR="003A7A1E" w:rsidRPr="00357DED">
        <w:rPr>
          <w:rFonts w:ascii="Cambria" w:hAnsi="Cambria"/>
        </w:rPr>
        <w:t xml:space="preserve"> Research Compliance Officer must perform an audit of the study before it can be closed.  For questions on how to begin this process, contact the Research Compliance Officer at 412-</w:t>
      </w:r>
      <w:r w:rsidR="00154BC4" w:rsidRPr="00357DED">
        <w:rPr>
          <w:rFonts w:ascii="Cambria" w:hAnsi="Cambria"/>
        </w:rPr>
        <w:t>822</w:t>
      </w:r>
      <w:r w:rsidR="003A7A1E" w:rsidRPr="00357DED">
        <w:rPr>
          <w:rFonts w:ascii="Cambria" w:hAnsi="Cambria"/>
        </w:rPr>
        <w:t>-</w:t>
      </w:r>
      <w:r w:rsidR="00154BC4" w:rsidRPr="00357DED">
        <w:rPr>
          <w:rFonts w:ascii="Cambria" w:hAnsi="Cambria"/>
        </w:rPr>
        <w:t>1577</w:t>
      </w:r>
      <w:r w:rsidR="003A7A1E" w:rsidRPr="00357DED">
        <w:rPr>
          <w:rFonts w:ascii="Cambria" w:hAnsi="Cambria"/>
        </w:rPr>
        <w:t xml:space="preserve">. </w:t>
      </w:r>
    </w:p>
    <w:p w:rsidR="00F7667D" w:rsidRPr="00357DED" w:rsidRDefault="00F7667D" w:rsidP="00EC2575">
      <w:pPr>
        <w:pStyle w:val="ListParagraph"/>
        <w:rPr>
          <w:rFonts w:ascii="Cambria" w:hAnsi="Cambria"/>
        </w:rPr>
      </w:pPr>
    </w:p>
    <w:p w:rsidR="00DC5650" w:rsidRPr="00357DED" w:rsidRDefault="00DC5650" w:rsidP="00D733CD">
      <w:pPr>
        <w:pStyle w:val="ListParagraph"/>
        <w:rPr>
          <w:rFonts w:ascii="Cambria" w:hAnsi="Cambria"/>
          <w:b/>
        </w:rPr>
      </w:pPr>
      <w:r w:rsidRPr="00357DED">
        <w:rPr>
          <w:rFonts w:ascii="Cambria" w:hAnsi="Cambria"/>
          <w:b/>
        </w:rPr>
        <w:t>Studies Using Recombinant DNA:</w:t>
      </w:r>
    </w:p>
    <w:p w:rsidR="00DC5650" w:rsidRPr="00357DED" w:rsidRDefault="00DC5650" w:rsidP="00DC5650">
      <w:pPr>
        <w:pStyle w:val="ListParagraph"/>
        <w:numPr>
          <w:ilvl w:val="0"/>
          <w:numId w:val="5"/>
        </w:numPr>
        <w:rPr>
          <w:rFonts w:ascii="Cambria" w:hAnsi="Cambria"/>
        </w:rPr>
      </w:pPr>
      <w:r w:rsidRPr="00357DED">
        <w:rPr>
          <w:rFonts w:ascii="Cambria" w:hAnsi="Cambria"/>
        </w:rPr>
        <w:t xml:space="preserve">All protocols approved by the Institutional Biosafety Committee (IBC) for which the departing investigator is designated as the PI must be terminated or an alternate PI should be designated via </w:t>
      </w:r>
      <w:r w:rsidR="0052100F" w:rsidRPr="00357DED">
        <w:rPr>
          <w:rFonts w:ascii="Cambria" w:hAnsi="Cambria"/>
        </w:rPr>
        <w:t>the IBC Amendment Request F</w:t>
      </w:r>
      <w:r w:rsidR="00A50D97" w:rsidRPr="00357DED">
        <w:rPr>
          <w:rFonts w:ascii="Cambria" w:hAnsi="Cambria"/>
        </w:rPr>
        <w:t>orm</w:t>
      </w:r>
      <w:r w:rsidRPr="00357DED">
        <w:rPr>
          <w:rFonts w:ascii="Cambria" w:hAnsi="Cambria"/>
        </w:rPr>
        <w:t>.  The IBC Coordinator can provide further details about these procedures (412-</w:t>
      </w:r>
      <w:r w:rsidR="004C3196" w:rsidRPr="00357DED">
        <w:rPr>
          <w:rFonts w:ascii="Cambria" w:hAnsi="Cambria"/>
        </w:rPr>
        <w:t>360-2</w:t>
      </w:r>
      <w:r w:rsidRPr="00357DED">
        <w:rPr>
          <w:rFonts w:ascii="Cambria" w:hAnsi="Cambria"/>
        </w:rPr>
        <w:t xml:space="preserve">382). </w:t>
      </w:r>
    </w:p>
    <w:p w:rsidR="0070419A" w:rsidRPr="00357DED" w:rsidRDefault="0070419A" w:rsidP="0070419A">
      <w:pPr>
        <w:pStyle w:val="ListParagraph"/>
        <w:ind w:left="1080"/>
        <w:rPr>
          <w:rFonts w:ascii="Cambria" w:hAnsi="Cambria"/>
        </w:rPr>
      </w:pPr>
    </w:p>
    <w:p w:rsidR="0070419A" w:rsidRPr="00357DED" w:rsidRDefault="00BA729C" w:rsidP="0070419A">
      <w:pPr>
        <w:pStyle w:val="ListParagraph"/>
        <w:numPr>
          <w:ilvl w:val="0"/>
          <w:numId w:val="5"/>
        </w:numPr>
        <w:rPr>
          <w:rFonts w:ascii="Cambria" w:hAnsi="Cambria"/>
        </w:rPr>
      </w:pPr>
      <w:r w:rsidRPr="00357DED">
        <w:rPr>
          <w:rFonts w:ascii="Cambria" w:hAnsi="Cambria"/>
        </w:rPr>
        <w:t>The</w:t>
      </w:r>
      <w:r w:rsidR="0070419A" w:rsidRPr="00357DED">
        <w:rPr>
          <w:rFonts w:ascii="Cambria" w:hAnsi="Cambria"/>
        </w:rPr>
        <w:t xml:space="preserve"> Research Compliance Officer must perform an audit of </w:t>
      </w:r>
      <w:r w:rsidR="0000726C" w:rsidRPr="00357DED">
        <w:rPr>
          <w:rFonts w:ascii="Cambria" w:hAnsi="Cambria"/>
        </w:rPr>
        <w:t>the</w:t>
      </w:r>
      <w:r w:rsidR="0070419A" w:rsidRPr="00357DED">
        <w:rPr>
          <w:rFonts w:ascii="Cambria" w:hAnsi="Cambria"/>
        </w:rPr>
        <w:t xml:space="preserve"> study before it can be closed.  For questions on how to begin this process, contact the Research Compliance Officer at 412-</w:t>
      </w:r>
      <w:r w:rsidR="00154BC4" w:rsidRPr="00357DED">
        <w:rPr>
          <w:rFonts w:ascii="Cambria" w:hAnsi="Cambria"/>
        </w:rPr>
        <w:t>822</w:t>
      </w:r>
      <w:r w:rsidR="0070419A" w:rsidRPr="00357DED">
        <w:rPr>
          <w:rFonts w:ascii="Cambria" w:hAnsi="Cambria"/>
        </w:rPr>
        <w:t>-</w:t>
      </w:r>
      <w:r w:rsidR="00154BC4" w:rsidRPr="00357DED">
        <w:rPr>
          <w:rFonts w:ascii="Cambria" w:hAnsi="Cambria"/>
        </w:rPr>
        <w:t>1577</w:t>
      </w:r>
      <w:r w:rsidR="0070419A" w:rsidRPr="00357DED">
        <w:rPr>
          <w:rFonts w:ascii="Cambria" w:hAnsi="Cambria"/>
        </w:rPr>
        <w:t xml:space="preserve">. </w:t>
      </w:r>
    </w:p>
    <w:p w:rsidR="00F7667D" w:rsidRPr="00357DED" w:rsidRDefault="00F7667D" w:rsidP="00EC2575">
      <w:pPr>
        <w:pStyle w:val="ListParagraph"/>
        <w:rPr>
          <w:rFonts w:ascii="Cambria" w:hAnsi="Cambria"/>
        </w:rPr>
      </w:pPr>
    </w:p>
    <w:p w:rsidR="00D733CD" w:rsidRPr="00357DED" w:rsidRDefault="00D733CD" w:rsidP="00D733CD">
      <w:pPr>
        <w:pStyle w:val="ListParagraph"/>
        <w:rPr>
          <w:rFonts w:ascii="Cambria" w:hAnsi="Cambria"/>
          <w:b/>
        </w:rPr>
      </w:pPr>
      <w:r w:rsidRPr="00357DED">
        <w:rPr>
          <w:rFonts w:ascii="Cambria" w:hAnsi="Cambria"/>
          <w:b/>
        </w:rPr>
        <w:t xml:space="preserve">Studies Using </w:t>
      </w:r>
      <w:r w:rsidR="007609EF" w:rsidRPr="00357DED">
        <w:rPr>
          <w:rFonts w:ascii="Cambria" w:hAnsi="Cambria"/>
          <w:b/>
        </w:rPr>
        <w:t>Human Subjects</w:t>
      </w:r>
      <w:r w:rsidRPr="00357DED">
        <w:rPr>
          <w:rFonts w:ascii="Cambria" w:hAnsi="Cambria"/>
          <w:b/>
        </w:rPr>
        <w:t>:</w:t>
      </w:r>
    </w:p>
    <w:p w:rsidR="007609EF" w:rsidRPr="00357DED" w:rsidRDefault="007609EF" w:rsidP="00D733CD">
      <w:pPr>
        <w:pStyle w:val="ListParagraph"/>
        <w:numPr>
          <w:ilvl w:val="0"/>
          <w:numId w:val="5"/>
        </w:numPr>
        <w:rPr>
          <w:rFonts w:ascii="Cambria" w:hAnsi="Cambria"/>
        </w:rPr>
      </w:pPr>
      <w:r w:rsidRPr="00357DED">
        <w:rPr>
          <w:rFonts w:ascii="Cambria" w:hAnsi="Cambria"/>
        </w:rPr>
        <w:t xml:space="preserve">PIs leaving the institution are responsible for notifying the Institutional Review Board (IRB) well in advance of their departure </w:t>
      </w:r>
      <w:r w:rsidR="008F502B" w:rsidRPr="00357DED">
        <w:rPr>
          <w:rFonts w:ascii="Cambria" w:hAnsi="Cambria"/>
        </w:rPr>
        <w:t xml:space="preserve">(at least </w:t>
      </w:r>
      <w:r w:rsidR="00442F5A" w:rsidRPr="00357DED">
        <w:rPr>
          <w:rFonts w:ascii="Cambria" w:hAnsi="Cambria"/>
        </w:rPr>
        <w:t>6</w:t>
      </w:r>
      <w:r w:rsidR="008F502B" w:rsidRPr="00357DED">
        <w:rPr>
          <w:rFonts w:ascii="Cambria" w:hAnsi="Cambria"/>
        </w:rPr>
        <w:t xml:space="preserve">0 days prior) </w:t>
      </w:r>
      <w:r w:rsidRPr="00357DED">
        <w:rPr>
          <w:rFonts w:ascii="Cambria" w:hAnsi="Cambria"/>
        </w:rPr>
        <w:t>so that arrangements can be made to either close the study or name another appropriately qualified individual currently at the institution to serve as the PI.</w:t>
      </w:r>
      <w:r w:rsidR="00860371" w:rsidRPr="00357DED">
        <w:rPr>
          <w:rFonts w:ascii="Cambria" w:hAnsi="Cambria"/>
        </w:rPr>
        <w:t xml:space="preserve">  At VAPHS, research must be formally closed; it cannot simply expire.  According to VAPHS IRB Standard Operating Procedures (SOPs), Section 4.E states that the PI must complete all required documentation at the completion or termination of the study and </w:t>
      </w:r>
      <w:r w:rsidR="00C962E4" w:rsidRPr="00357DED">
        <w:rPr>
          <w:rFonts w:ascii="Cambria" w:hAnsi="Cambria"/>
        </w:rPr>
        <w:t xml:space="preserve">retain all </w:t>
      </w:r>
      <w:r w:rsidR="00860371" w:rsidRPr="00357DED">
        <w:rPr>
          <w:rFonts w:ascii="Cambria" w:hAnsi="Cambria"/>
        </w:rPr>
        <w:t xml:space="preserve">research records </w:t>
      </w:r>
      <w:r w:rsidR="00C962E4" w:rsidRPr="00357DED">
        <w:rPr>
          <w:rFonts w:ascii="Cambria" w:hAnsi="Cambria"/>
        </w:rPr>
        <w:t xml:space="preserve">for the applicable retention period </w:t>
      </w:r>
      <w:r w:rsidR="00860371" w:rsidRPr="00357DED">
        <w:rPr>
          <w:rFonts w:ascii="Cambria" w:hAnsi="Cambria"/>
        </w:rPr>
        <w:t>according to all applicable VA and Federal record retention requirements.</w:t>
      </w:r>
      <w:r w:rsidRPr="00357DED">
        <w:rPr>
          <w:rFonts w:ascii="Cambria" w:hAnsi="Cambria"/>
        </w:rPr>
        <w:t xml:space="preserve">  The IRB Office</w:t>
      </w:r>
      <w:r w:rsidR="00F74D33" w:rsidRPr="00357DED">
        <w:rPr>
          <w:rFonts w:ascii="Cambria" w:hAnsi="Cambria"/>
        </w:rPr>
        <w:t xml:space="preserve"> </w:t>
      </w:r>
      <w:r w:rsidR="00C962E4" w:rsidRPr="00357DED">
        <w:rPr>
          <w:rFonts w:ascii="Cambria" w:hAnsi="Cambria"/>
        </w:rPr>
        <w:t xml:space="preserve">staff </w:t>
      </w:r>
      <w:r w:rsidR="00F74D33" w:rsidRPr="00357DED">
        <w:rPr>
          <w:rFonts w:ascii="Cambria" w:hAnsi="Cambria"/>
        </w:rPr>
        <w:t xml:space="preserve">can be contacted at </w:t>
      </w:r>
      <w:hyperlink r:id="rId8" w:history="1">
        <w:r w:rsidR="00C962E4" w:rsidRPr="00357DED">
          <w:rPr>
            <w:rStyle w:val="Hyperlink"/>
            <w:rFonts w:ascii="Cambria" w:hAnsi="Cambria"/>
          </w:rPr>
          <w:t>vhapthIRB@va.gov</w:t>
        </w:r>
      </w:hyperlink>
      <w:r w:rsidR="00C962E4" w:rsidRPr="00357DED">
        <w:rPr>
          <w:rFonts w:ascii="Cambria" w:hAnsi="Cambria"/>
        </w:rPr>
        <w:t xml:space="preserve"> </w:t>
      </w:r>
      <w:r w:rsidRPr="00357DED">
        <w:rPr>
          <w:rFonts w:ascii="Cambria" w:hAnsi="Cambria"/>
        </w:rPr>
        <w:t>.</w:t>
      </w:r>
    </w:p>
    <w:p w:rsidR="0084008F" w:rsidRPr="00357DED" w:rsidRDefault="0084008F" w:rsidP="0084008F">
      <w:pPr>
        <w:pStyle w:val="ListParagraph"/>
        <w:rPr>
          <w:rFonts w:ascii="Cambria" w:hAnsi="Cambria"/>
        </w:rPr>
      </w:pPr>
    </w:p>
    <w:p w:rsidR="007609EF" w:rsidRPr="00357DED" w:rsidRDefault="00AD2E80" w:rsidP="00D733CD">
      <w:pPr>
        <w:pStyle w:val="ListParagraph"/>
        <w:numPr>
          <w:ilvl w:val="0"/>
          <w:numId w:val="5"/>
        </w:numPr>
        <w:rPr>
          <w:rFonts w:ascii="Cambria" w:hAnsi="Cambria"/>
        </w:rPr>
      </w:pPr>
      <w:r w:rsidRPr="00357DED">
        <w:rPr>
          <w:rFonts w:ascii="Cambria" w:hAnsi="Cambria"/>
        </w:rPr>
        <w:t>Tissue transfer</w:t>
      </w:r>
      <w:r w:rsidR="0095724A" w:rsidRPr="00357DED">
        <w:rPr>
          <w:rFonts w:ascii="Cambria" w:hAnsi="Cambria"/>
        </w:rPr>
        <w:t xml:space="preserve">s - </w:t>
      </w:r>
      <w:r w:rsidRPr="00357DED">
        <w:rPr>
          <w:rFonts w:ascii="Cambria" w:hAnsi="Cambria"/>
        </w:rPr>
        <w:t>If the IRB-approved study involved off-site storage of biological specimens, written confirmation by the storage sites that these samples have been destroyed must be obtained prior to study closure.  If human subjects’ specimens are to be retained after the end of the study for future research, the IRB-approved protocol/application and consent form must outline this process.  Current local, VA, and other Federal requirements must be met for handling, use and storage of biological specimens and data.</w:t>
      </w:r>
    </w:p>
    <w:p w:rsidR="0084008F" w:rsidRPr="00357DED" w:rsidRDefault="0084008F" w:rsidP="0084008F">
      <w:pPr>
        <w:pStyle w:val="ListParagraph"/>
        <w:ind w:left="1080"/>
        <w:rPr>
          <w:rFonts w:ascii="Cambria" w:hAnsi="Cambria"/>
          <w:highlight w:val="yellow"/>
        </w:rPr>
      </w:pPr>
    </w:p>
    <w:p w:rsidR="00D733CD" w:rsidRPr="00357DED" w:rsidRDefault="007609EF" w:rsidP="00D733CD">
      <w:pPr>
        <w:pStyle w:val="ListParagraph"/>
        <w:numPr>
          <w:ilvl w:val="0"/>
          <w:numId w:val="5"/>
        </w:numPr>
        <w:rPr>
          <w:rFonts w:ascii="Cambria" w:hAnsi="Cambria"/>
        </w:rPr>
      </w:pPr>
      <w:r w:rsidRPr="00357DED">
        <w:rPr>
          <w:rFonts w:ascii="Cambria" w:hAnsi="Cambria"/>
        </w:rPr>
        <w:lastRenderedPageBreak/>
        <w:t>Research drug supplies should be disposed of as indicated by the sponsor of the study.  Investigators can also contact the Investigational Drug Service</w:t>
      </w:r>
      <w:r w:rsidR="008505D7" w:rsidRPr="00357DED">
        <w:rPr>
          <w:rFonts w:ascii="Cambria" w:hAnsi="Cambria"/>
        </w:rPr>
        <w:t xml:space="preserve"> Pharmacist</w:t>
      </w:r>
      <w:r w:rsidRPr="00357DED">
        <w:rPr>
          <w:rFonts w:ascii="Cambria" w:hAnsi="Cambria"/>
        </w:rPr>
        <w:t xml:space="preserve"> </w:t>
      </w:r>
      <w:r w:rsidR="00442F5A" w:rsidRPr="00357DED">
        <w:rPr>
          <w:rFonts w:ascii="Cambria" w:hAnsi="Cambria"/>
        </w:rPr>
        <w:t>(</w:t>
      </w:r>
      <w:r w:rsidR="008505D7" w:rsidRPr="00357DED">
        <w:rPr>
          <w:rFonts w:ascii="Cambria" w:hAnsi="Cambria"/>
        </w:rPr>
        <w:t>412-360-3260</w:t>
      </w:r>
      <w:r w:rsidR="00442F5A" w:rsidRPr="00357DED">
        <w:rPr>
          <w:rFonts w:ascii="Cambria" w:hAnsi="Cambria"/>
        </w:rPr>
        <w:t xml:space="preserve">) </w:t>
      </w:r>
      <w:r w:rsidRPr="00357DED">
        <w:rPr>
          <w:rFonts w:ascii="Cambria" w:hAnsi="Cambria"/>
        </w:rPr>
        <w:t>for instructions on drug disposition.</w:t>
      </w:r>
      <w:r w:rsidR="00D733CD" w:rsidRPr="00357DED">
        <w:rPr>
          <w:rFonts w:ascii="Cambria" w:hAnsi="Cambria"/>
        </w:rPr>
        <w:t xml:space="preserve"> </w:t>
      </w:r>
    </w:p>
    <w:p w:rsidR="0070419A" w:rsidRPr="00357DED" w:rsidRDefault="0070419A" w:rsidP="0070419A">
      <w:pPr>
        <w:pStyle w:val="ListParagraph"/>
        <w:ind w:left="1080"/>
        <w:rPr>
          <w:rFonts w:ascii="Cambria" w:hAnsi="Cambria"/>
        </w:rPr>
      </w:pPr>
    </w:p>
    <w:p w:rsidR="00201F3B" w:rsidRPr="00357DED" w:rsidRDefault="00BA729C" w:rsidP="00CE21B2">
      <w:pPr>
        <w:pStyle w:val="ListParagraph"/>
        <w:numPr>
          <w:ilvl w:val="0"/>
          <w:numId w:val="5"/>
        </w:numPr>
        <w:rPr>
          <w:rFonts w:ascii="Cambria" w:hAnsi="Cambria"/>
        </w:rPr>
      </w:pPr>
      <w:r w:rsidRPr="00357DED">
        <w:rPr>
          <w:rFonts w:ascii="Cambria" w:hAnsi="Cambria"/>
        </w:rPr>
        <w:t>The</w:t>
      </w:r>
      <w:r w:rsidR="0070419A" w:rsidRPr="00357DED">
        <w:rPr>
          <w:rFonts w:ascii="Cambria" w:hAnsi="Cambria"/>
        </w:rPr>
        <w:t xml:space="preserve"> Research Compliance Officer must perform an audit of </w:t>
      </w:r>
      <w:r w:rsidR="006C3180" w:rsidRPr="00357DED">
        <w:rPr>
          <w:rFonts w:ascii="Cambria" w:hAnsi="Cambria"/>
        </w:rPr>
        <w:t>the</w:t>
      </w:r>
      <w:r w:rsidR="0070419A" w:rsidRPr="00357DED">
        <w:rPr>
          <w:rFonts w:ascii="Cambria" w:hAnsi="Cambria"/>
        </w:rPr>
        <w:t xml:space="preserve"> study before it can be closed.  For questions on how to begin this process, contact the Research Compliance Officer at 412-</w:t>
      </w:r>
      <w:r w:rsidR="00154BC4" w:rsidRPr="00357DED">
        <w:rPr>
          <w:rFonts w:ascii="Cambria" w:hAnsi="Cambria"/>
        </w:rPr>
        <w:t>822</w:t>
      </w:r>
      <w:r w:rsidR="0070419A" w:rsidRPr="00357DED">
        <w:rPr>
          <w:rFonts w:ascii="Cambria" w:hAnsi="Cambria"/>
        </w:rPr>
        <w:t>-</w:t>
      </w:r>
      <w:r w:rsidR="00154BC4" w:rsidRPr="00357DED">
        <w:rPr>
          <w:rFonts w:ascii="Cambria" w:hAnsi="Cambria"/>
        </w:rPr>
        <w:t>1577</w:t>
      </w:r>
      <w:r w:rsidR="0070419A" w:rsidRPr="00357DED">
        <w:rPr>
          <w:rFonts w:ascii="Cambria" w:hAnsi="Cambria"/>
        </w:rPr>
        <w:t>.</w:t>
      </w:r>
    </w:p>
    <w:p w:rsidR="00C473F2" w:rsidRPr="00357DED" w:rsidRDefault="00C473F2" w:rsidP="0084008F">
      <w:pPr>
        <w:pStyle w:val="ListParagraph"/>
        <w:ind w:left="0"/>
        <w:rPr>
          <w:rFonts w:ascii="Cambria" w:hAnsi="Cambria"/>
        </w:rPr>
      </w:pPr>
    </w:p>
    <w:p w:rsidR="000A1044" w:rsidRPr="00357DED" w:rsidRDefault="000A1044" w:rsidP="0084008F">
      <w:pPr>
        <w:pStyle w:val="ListParagraph"/>
        <w:ind w:left="0"/>
        <w:rPr>
          <w:rFonts w:ascii="Cambria" w:hAnsi="Cambria"/>
        </w:rPr>
      </w:pPr>
    </w:p>
    <w:p w:rsidR="00B26E4F" w:rsidRPr="00357DED" w:rsidRDefault="00B26E4F" w:rsidP="00B26E4F">
      <w:pPr>
        <w:pStyle w:val="ListParagraph"/>
        <w:rPr>
          <w:rFonts w:ascii="Cambria" w:hAnsi="Cambria"/>
          <w:b/>
        </w:rPr>
      </w:pPr>
      <w:r w:rsidRPr="00357DED">
        <w:rPr>
          <w:rFonts w:ascii="Cambria" w:hAnsi="Cambria"/>
          <w:b/>
        </w:rPr>
        <w:t xml:space="preserve">Studies </w:t>
      </w:r>
      <w:r w:rsidR="007854B8" w:rsidRPr="00357DED">
        <w:rPr>
          <w:rFonts w:ascii="Cambria" w:hAnsi="Cambria"/>
          <w:b/>
        </w:rPr>
        <w:t xml:space="preserve">Considered </w:t>
      </w:r>
      <w:r w:rsidRPr="00357DED">
        <w:rPr>
          <w:rFonts w:ascii="Cambria" w:hAnsi="Cambria"/>
          <w:b/>
        </w:rPr>
        <w:t>Exempt or Not Human Subjects:</w:t>
      </w:r>
    </w:p>
    <w:p w:rsidR="00B26E4F" w:rsidRPr="00357DED" w:rsidRDefault="00B26E4F" w:rsidP="00B26E4F">
      <w:pPr>
        <w:pStyle w:val="ListParagraph"/>
        <w:numPr>
          <w:ilvl w:val="0"/>
          <w:numId w:val="5"/>
        </w:numPr>
        <w:rPr>
          <w:rFonts w:ascii="Cambria" w:hAnsi="Cambria"/>
        </w:rPr>
      </w:pPr>
      <w:r w:rsidRPr="00357DED">
        <w:rPr>
          <w:rFonts w:ascii="Cambria" w:hAnsi="Cambria"/>
        </w:rPr>
        <w:t xml:space="preserve">PIs </w:t>
      </w:r>
      <w:r w:rsidR="007A720E" w:rsidRPr="00357DED">
        <w:rPr>
          <w:rFonts w:ascii="Cambria" w:hAnsi="Cambria"/>
        </w:rPr>
        <w:t>with</w:t>
      </w:r>
      <w:r w:rsidRPr="00357DED">
        <w:rPr>
          <w:rFonts w:ascii="Cambria" w:hAnsi="Cambria"/>
        </w:rPr>
        <w:t xml:space="preserve"> </w:t>
      </w:r>
      <w:r w:rsidR="002E22DE" w:rsidRPr="00357DED">
        <w:rPr>
          <w:rFonts w:ascii="Cambria" w:hAnsi="Cambria"/>
        </w:rPr>
        <w:t xml:space="preserve">approved </w:t>
      </w:r>
      <w:r w:rsidR="007A720E" w:rsidRPr="00357DED">
        <w:rPr>
          <w:rFonts w:ascii="Cambria" w:hAnsi="Cambria"/>
        </w:rPr>
        <w:t xml:space="preserve">studies </w:t>
      </w:r>
      <w:r w:rsidR="002E22DE" w:rsidRPr="00357DED">
        <w:rPr>
          <w:rFonts w:ascii="Cambria" w:hAnsi="Cambria"/>
        </w:rPr>
        <w:t xml:space="preserve">that are considered </w:t>
      </w:r>
      <w:r w:rsidRPr="00357DED">
        <w:rPr>
          <w:rFonts w:ascii="Cambria" w:hAnsi="Cambria"/>
        </w:rPr>
        <w:t xml:space="preserve">either Exempt or </w:t>
      </w:r>
      <w:r w:rsidR="00D30EC5" w:rsidRPr="00357DED">
        <w:rPr>
          <w:rFonts w:ascii="Cambria" w:hAnsi="Cambria"/>
        </w:rPr>
        <w:t>Not Human S</w:t>
      </w:r>
      <w:r w:rsidRPr="00357DED">
        <w:rPr>
          <w:rFonts w:ascii="Cambria" w:hAnsi="Cambria"/>
        </w:rPr>
        <w:t>ubject must fill out and submit a S</w:t>
      </w:r>
      <w:r w:rsidR="00D30EC5" w:rsidRPr="00357DED">
        <w:rPr>
          <w:rFonts w:ascii="Cambria" w:hAnsi="Cambria"/>
        </w:rPr>
        <w:t xml:space="preserve">tudy Closure Form for the </w:t>
      </w:r>
      <w:r w:rsidRPr="00357DED">
        <w:rPr>
          <w:rFonts w:ascii="Cambria" w:hAnsi="Cambria"/>
        </w:rPr>
        <w:t xml:space="preserve">Research </w:t>
      </w:r>
      <w:r w:rsidR="00D30EC5" w:rsidRPr="00357DED">
        <w:rPr>
          <w:rFonts w:ascii="Cambria" w:hAnsi="Cambria"/>
        </w:rPr>
        <w:t xml:space="preserve">Scientific Evaluation Committee </w:t>
      </w:r>
      <w:r w:rsidRPr="00357DED">
        <w:rPr>
          <w:rFonts w:ascii="Cambria" w:hAnsi="Cambria"/>
        </w:rPr>
        <w:t>(RSEC).</w:t>
      </w:r>
      <w:r w:rsidR="009728DA" w:rsidRPr="00357DED">
        <w:rPr>
          <w:rFonts w:ascii="Cambria" w:hAnsi="Cambria"/>
        </w:rPr>
        <w:t xml:space="preserve"> </w:t>
      </w:r>
      <w:r w:rsidR="008505D7" w:rsidRPr="00357DED">
        <w:rPr>
          <w:rFonts w:ascii="Cambria" w:hAnsi="Cambria"/>
        </w:rPr>
        <w:t xml:space="preserve"> </w:t>
      </w:r>
    </w:p>
    <w:p w:rsidR="00B26E4F" w:rsidRPr="00357DED" w:rsidRDefault="00B26E4F" w:rsidP="0084008F">
      <w:pPr>
        <w:pStyle w:val="ListParagraph"/>
        <w:rPr>
          <w:rFonts w:ascii="Cambria" w:hAnsi="Cambria"/>
          <w:b/>
        </w:rPr>
      </w:pPr>
    </w:p>
    <w:p w:rsidR="0084008F" w:rsidRPr="00357DED" w:rsidRDefault="0084008F" w:rsidP="0084008F">
      <w:pPr>
        <w:pStyle w:val="ListParagraph"/>
        <w:rPr>
          <w:rFonts w:ascii="Cambria" w:hAnsi="Cambria"/>
          <w:b/>
        </w:rPr>
      </w:pPr>
      <w:r w:rsidRPr="00357DED">
        <w:rPr>
          <w:rFonts w:ascii="Cambria" w:hAnsi="Cambria"/>
          <w:b/>
        </w:rPr>
        <w:t>Fiscal Matters:</w:t>
      </w:r>
    </w:p>
    <w:p w:rsidR="005D01A7" w:rsidRPr="00357DED" w:rsidRDefault="0084008F" w:rsidP="0095724A">
      <w:pPr>
        <w:pStyle w:val="ListParagraph"/>
        <w:numPr>
          <w:ilvl w:val="0"/>
          <w:numId w:val="5"/>
        </w:numPr>
        <w:rPr>
          <w:rFonts w:ascii="Cambria" w:hAnsi="Cambria"/>
        </w:rPr>
      </w:pPr>
      <w:r w:rsidRPr="00357DED">
        <w:rPr>
          <w:rFonts w:ascii="Cambria" w:hAnsi="Cambria"/>
        </w:rPr>
        <w:t xml:space="preserve">With respect to all fiscal matters and contract matters, contact the </w:t>
      </w:r>
      <w:r w:rsidR="00FF01BD" w:rsidRPr="00357DED">
        <w:rPr>
          <w:rFonts w:ascii="Cambria" w:hAnsi="Cambria"/>
        </w:rPr>
        <w:t>Business Manager</w:t>
      </w:r>
      <w:r w:rsidRPr="00357DED">
        <w:rPr>
          <w:rFonts w:ascii="Cambria" w:hAnsi="Cambria"/>
        </w:rPr>
        <w:t>/R&amp;D (412-</w:t>
      </w:r>
      <w:r w:rsidR="00154BC4" w:rsidRPr="00357DED">
        <w:rPr>
          <w:rFonts w:ascii="Cambria" w:hAnsi="Cambria"/>
        </w:rPr>
        <w:t>360-2</w:t>
      </w:r>
      <w:r w:rsidRPr="00357DED">
        <w:rPr>
          <w:rFonts w:ascii="Cambria" w:hAnsi="Cambria"/>
        </w:rPr>
        <w:t xml:space="preserve">387). </w:t>
      </w:r>
    </w:p>
    <w:p w:rsidR="005D01A7" w:rsidRPr="00357DED" w:rsidRDefault="005D01A7" w:rsidP="0095724A">
      <w:pPr>
        <w:pStyle w:val="NoSpacing"/>
        <w:ind w:firstLine="720"/>
        <w:rPr>
          <w:rFonts w:ascii="Cambria" w:hAnsi="Cambria"/>
          <w:b/>
        </w:rPr>
      </w:pPr>
      <w:r w:rsidRPr="00357DED">
        <w:rPr>
          <w:rFonts w:ascii="Cambria" w:hAnsi="Cambria"/>
          <w:b/>
        </w:rPr>
        <w:t>Data Transfer:</w:t>
      </w:r>
    </w:p>
    <w:p w:rsidR="00201F3B" w:rsidRPr="00357DED" w:rsidRDefault="00A42387" w:rsidP="00C5516D">
      <w:pPr>
        <w:pStyle w:val="NoSpacing"/>
        <w:numPr>
          <w:ilvl w:val="0"/>
          <w:numId w:val="6"/>
        </w:numPr>
        <w:rPr>
          <w:rFonts w:ascii="Cambria" w:hAnsi="Cambria"/>
        </w:rPr>
      </w:pPr>
      <w:r w:rsidRPr="00357DED">
        <w:rPr>
          <w:rFonts w:ascii="Cambria" w:hAnsi="Cambria"/>
        </w:rPr>
        <w:t>Data transfers must be reviewed and approved by the Information Security Officer and Privacy Officer prior to transfer.</w:t>
      </w:r>
    </w:p>
    <w:p w:rsidR="00C5516D" w:rsidRPr="00357DED" w:rsidRDefault="00C5516D" w:rsidP="00C5516D">
      <w:pPr>
        <w:pStyle w:val="NoSpacing"/>
        <w:rPr>
          <w:rFonts w:ascii="Cambria" w:hAnsi="Cambria"/>
        </w:rPr>
      </w:pPr>
    </w:p>
    <w:p w:rsidR="00C5516D" w:rsidRPr="00357DED" w:rsidRDefault="00C5516D" w:rsidP="00C5516D">
      <w:pPr>
        <w:pStyle w:val="NoSpacing"/>
        <w:ind w:firstLine="720"/>
        <w:rPr>
          <w:rFonts w:ascii="Cambria" w:hAnsi="Cambria"/>
          <w:b/>
        </w:rPr>
      </w:pPr>
      <w:r w:rsidRPr="00357DED">
        <w:rPr>
          <w:rFonts w:ascii="Cambria" w:hAnsi="Cambria"/>
          <w:b/>
        </w:rPr>
        <w:t>Laboratory Closure Checklist:</w:t>
      </w:r>
    </w:p>
    <w:p w:rsidR="00C5516D" w:rsidRPr="00357DED" w:rsidRDefault="00C5516D" w:rsidP="00C5516D">
      <w:pPr>
        <w:pStyle w:val="NoSpacing"/>
        <w:numPr>
          <w:ilvl w:val="0"/>
          <w:numId w:val="6"/>
        </w:numPr>
        <w:rPr>
          <w:rFonts w:ascii="Cambria" w:hAnsi="Cambria"/>
        </w:rPr>
      </w:pPr>
      <w:r w:rsidRPr="00357DED">
        <w:rPr>
          <w:rFonts w:ascii="Cambria" w:hAnsi="Cambria"/>
        </w:rPr>
        <w:t xml:space="preserve">A laboratory closure checklist is attached to the guidelines.  This checklist will be </w:t>
      </w:r>
      <w:r w:rsidR="008D5A94" w:rsidRPr="00357DED">
        <w:rPr>
          <w:rFonts w:ascii="Cambria" w:hAnsi="Cambria"/>
        </w:rPr>
        <w:t xml:space="preserve">used by the Biosafety Officer to confirm </w:t>
      </w:r>
      <w:r w:rsidR="000565E7" w:rsidRPr="00357DED">
        <w:rPr>
          <w:rFonts w:ascii="Cambria" w:hAnsi="Cambria"/>
        </w:rPr>
        <w:t>all</w:t>
      </w:r>
      <w:r w:rsidR="008D5A94" w:rsidRPr="00357DED">
        <w:rPr>
          <w:rFonts w:ascii="Cambria" w:hAnsi="Cambria"/>
        </w:rPr>
        <w:t xml:space="preserve"> the items in this document have been covered prior to the investigator leaving the premises</w:t>
      </w:r>
      <w:r w:rsidRPr="00357DED">
        <w:rPr>
          <w:rFonts w:ascii="Cambria" w:hAnsi="Cambria"/>
        </w:rPr>
        <w:t>.</w:t>
      </w:r>
      <w:r w:rsidR="008D5A94" w:rsidRPr="00357DED">
        <w:rPr>
          <w:rFonts w:ascii="Cambria" w:hAnsi="Cambria"/>
        </w:rPr>
        <w:t xml:space="preserve">  The checklist must be signed by the Principal Investigator, the Biosafety Officer, </w:t>
      </w:r>
      <w:r w:rsidR="00C96938" w:rsidRPr="00357DED">
        <w:rPr>
          <w:rFonts w:ascii="Cambria" w:hAnsi="Cambria"/>
        </w:rPr>
        <w:t xml:space="preserve">the Industrial Hygienist, the Radiation Safety Officer (if applicable), </w:t>
      </w:r>
      <w:r w:rsidR="008D5A94" w:rsidRPr="00357DED">
        <w:rPr>
          <w:rFonts w:ascii="Cambria" w:hAnsi="Cambria"/>
        </w:rPr>
        <w:t xml:space="preserve">and the </w:t>
      </w:r>
      <w:r w:rsidR="002E22DE" w:rsidRPr="00357DED">
        <w:rPr>
          <w:rFonts w:ascii="Cambria" w:hAnsi="Cambria"/>
        </w:rPr>
        <w:t>ACOS/R&amp;D</w:t>
      </w:r>
      <w:r w:rsidR="008D5A94" w:rsidRPr="00357DED">
        <w:rPr>
          <w:rFonts w:ascii="Cambria" w:hAnsi="Cambria"/>
        </w:rPr>
        <w:t>.</w:t>
      </w:r>
    </w:p>
    <w:p w:rsidR="00201F3B" w:rsidRPr="00357DED" w:rsidRDefault="00201F3B" w:rsidP="00201F3B">
      <w:pPr>
        <w:pStyle w:val="ListParagraph"/>
        <w:rPr>
          <w:rFonts w:ascii="Cambria" w:hAnsi="Cambria"/>
        </w:rPr>
      </w:pPr>
    </w:p>
    <w:p w:rsidR="000E06E9" w:rsidRPr="00357DED" w:rsidRDefault="000E06E9" w:rsidP="0096003E">
      <w:pPr>
        <w:pStyle w:val="ListParagraph"/>
        <w:ind w:left="0"/>
        <w:rPr>
          <w:rFonts w:ascii="Cambria" w:hAnsi="Cambria"/>
        </w:rPr>
      </w:pPr>
    </w:p>
    <w:sectPr w:rsidR="000E06E9" w:rsidRPr="00357DED" w:rsidSect="00983A7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B1E" w:rsidRDefault="00EA6B1E" w:rsidP="00D20A40">
      <w:pPr>
        <w:spacing w:after="0" w:line="240" w:lineRule="auto"/>
      </w:pPr>
      <w:r>
        <w:separator/>
      </w:r>
    </w:p>
  </w:endnote>
  <w:endnote w:type="continuationSeparator" w:id="0">
    <w:p w:rsidR="00EA6B1E" w:rsidRDefault="00EA6B1E" w:rsidP="00D2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16D" w:rsidRDefault="00C5516D" w:rsidP="00AC2371">
    <w:pPr>
      <w:pStyle w:val="Footer"/>
      <w:tabs>
        <w:tab w:val="clear" w:pos="9360"/>
        <w:tab w:val="right" w:pos="8640"/>
      </w:tabs>
    </w:pPr>
  </w:p>
  <w:p w:rsidR="00C5516D" w:rsidRPr="00BA3393" w:rsidRDefault="00C5516D" w:rsidP="00BA3393">
    <w:pPr>
      <w:pStyle w:val="Footer"/>
      <w:tabs>
        <w:tab w:val="clear" w:pos="9360"/>
        <w:tab w:val="right" w:pos="8640"/>
      </w:tabs>
    </w:pPr>
    <w:r w:rsidRPr="00904F56">
      <w:rPr>
        <w:rFonts w:ascii="Times New Roman" w:hAnsi="Times New Roman"/>
        <w:sz w:val="20"/>
        <w:szCs w:val="20"/>
      </w:rPr>
      <w:t>VAPHS Guidelines for Vacating Lab Space</w:t>
    </w:r>
    <w:r w:rsidR="00303210">
      <w:rPr>
        <w:rFonts w:ascii="Times New Roman" w:hAnsi="Times New Roman"/>
        <w:sz w:val="20"/>
        <w:szCs w:val="20"/>
      </w:rPr>
      <w:t xml:space="preserve"> </w:t>
    </w:r>
    <w:r w:rsidR="000B1C56">
      <w:rPr>
        <w:rFonts w:ascii="Times New Roman" w:hAnsi="Times New Roman"/>
        <w:sz w:val="20"/>
        <w:szCs w:val="20"/>
      </w:rPr>
      <w:t>08</w:t>
    </w:r>
    <w:r w:rsidR="00303210">
      <w:rPr>
        <w:rFonts w:ascii="Times New Roman" w:hAnsi="Times New Roman"/>
        <w:sz w:val="20"/>
        <w:szCs w:val="20"/>
      </w:rPr>
      <w:t>/</w:t>
    </w:r>
    <w:r w:rsidR="000A1044">
      <w:rPr>
        <w:rFonts w:ascii="Times New Roman" w:hAnsi="Times New Roman"/>
        <w:sz w:val="20"/>
        <w:szCs w:val="20"/>
      </w:rPr>
      <w:t>18</w:t>
    </w:r>
    <w:r w:rsidR="00303210">
      <w:rPr>
        <w:rFonts w:ascii="Times New Roman" w:hAnsi="Times New Roman"/>
        <w:sz w:val="20"/>
        <w:szCs w:val="20"/>
      </w:rPr>
      <w:t>/</w:t>
    </w:r>
    <w:r w:rsidR="000B1C56">
      <w:rPr>
        <w:rFonts w:ascii="Times New Roman" w:hAnsi="Times New Roman"/>
        <w:sz w:val="20"/>
        <w:szCs w:val="20"/>
      </w:rPr>
      <w:t>2020</w:t>
    </w:r>
    <w:r>
      <w:rPr>
        <w:sz w:val="20"/>
        <w:szCs w:val="20"/>
      </w:rPr>
      <w:tab/>
    </w:r>
    <w:r>
      <w:rPr>
        <w:sz w:val="20"/>
        <w:szCs w:val="20"/>
      </w:rPr>
      <w:tab/>
    </w:r>
    <w:r w:rsidR="00BA3393">
      <w:rPr>
        <w:sz w:val="20"/>
        <w:szCs w:val="20"/>
      </w:rPr>
      <w:tab/>
    </w:r>
    <w:r w:rsidRPr="00904F56">
      <w:rPr>
        <w:rFonts w:ascii="Times New Roman" w:hAnsi="Times New Roman"/>
        <w:sz w:val="20"/>
        <w:szCs w:val="20"/>
      </w:rPr>
      <w:t xml:space="preserve">Page </w:t>
    </w:r>
    <w:r w:rsidRPr="00904F56">
      <w:rPr>
        <w:rFonts w:ascii="Times New Roman" w:hAnsi="Times New Roman"/>
        <w:b/>
        <w:sz w:val="20"/>
        <w:szCs w:val="20"/>
      </w:rPr>
      <w:fldChar w:fldCharType="begin"/>
    </w:r>
    <w:r w:rsidRPr="00904F56">
      <w:rPr>
        <w:rFonts w:ascii="Times New Roman" w:hAnsi="Times New Roman"/>
        <w:b/>
        <w:sz w:val="20"/>
        <w:szCs w:val="20"/>
      </w:rPr>
      <w:instrText xml:space="preserve"> PAGE </w:instrText>
    </w:r>
    <w:r w:rsidRPr="00904F56">
      <w:rPr>
        <w:rFonts w:ascii="Times New Roman" w:hAnsi="Times New Roman"/>
        <w:b/>
        <w:sz w:val="20"/>
        <w:szCs w:val="20"/>
      </w:rPr>
      <w:fldChar w:fldCharType="separate"/>
    </w:r>
    <w:r w:rsidR="00303210">
      <w:rPr>
        <w:rFonts w:ascii="Times New Roman" w:hAnsi="Times New Roman"/>
        <w:b/>
        <w:noProof/>
        <w:sz w:val="20"/>
        <w:szCs w:val="20"/>
      </w:rPr>
      <w:t>4</w:t>
    </w:r>
    <w:r w:rsidRPr="00904F56">
      <w:rPr>
        <w:rFonts w:ascii="Times New Roman" w:hAnsi="Times New Roman"/>
        <w:b/>
        <w:sz w:val="20"/>
        <w:szCs w:val="20"/>
      </w:rPr>
      <w:fldChar w:fldCharType="end"/>
    </w:r>
    <w:r w:rsidRPr="00904F56">
      <w:rPr>
        <w:rFonts w:ascii="Times New Roman" w:hAnsi="Times New Roman"/>
        <w:sz w:val="20"/>
        <w:szCs w:val="20"/>
      </w:rPr>
      <w:t xml:space="preserve"> of </w:t>
    </w:r>
    <w:r w:rsidRPr="00904F56">
      <w:rPr>
        <w:rFonts w:ascii="Times New Roman" w:hAnsi="Times New Roman"/>
        <w:b/>
        <w:sz w:val="20"/>
        <w:szCs w:val="20"/>
      </w:rPr>
      <w:fldChar w:fldCharType="begin"/>
    </w:r>
    <w:r w:rsidRPr="00904F56">
      <w:rPr>
        <w:rFonts w:ascii="Times New Roman" w:hAnsi="Times New Roman"/>
        <w:b/>
        <w:sz w:val="20"/>
        <w:szCs w:val="20"/>
      </w:rPr>
      <w:instrText xml:space="preserve"> NUMPAGES  </w:instrText>
    </w:r>
    <w:r w:rsidRPr="00904F56">
      <w:rPr>
        <w:rFonts w:ascii="Times New Roman" w:hAnsi="Times New Roman"/>
        <w:b/>
        <w:sz w:val="20"/>
        <w:szCs w:val="20"/>
      </w:rPr>
      <w:fldChar w:fldCharType="separate"/>
    </w:r>
    <w:r w:rsidR="00303210">
      <w:rPr>
        <w:rFonts w:ascii="Times New Roman" w:hAnsi="Times New Roman"/>
        <w:b/>
        <w:noProof/>
        <w:sz w:val="20"/>
        <w:szCs w:val="20"/>
      </w:rPr>
      <w:t>4</w:t>
    </w:r>
    <w:r w:rsidRPr="00904F56">
      <w:rPr>
        <w:rFonts w:ascii="Times New Roman" w:hAnsi="Times New Roman"/>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B1E" w:rsidRDefault="00EA6B1E" w:rsidP="00D20A40">
      <w:pPr>
        <w:spacing w:after="0" w:line="240" w:lineRule="auto"/>
      </w:pPr>
      <w:r>
        <w:separator/>
      </w:r>
    </w:p>
  </w:footnote>
  <w:footnote w:type="continuationSeparator" w:id="0">
    <w:p w:rsidR="00EA6B1E" w:rsidRDefault="00EA6B1E" w:rsidP="00D20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3DC"/>
    <w:multiLevelType w:val="hybridMultilevel"/>
    <w:tmpl w:val="382A30DA"/>
    <w:lvl w:ilvl="0" w:tplc="9CB8A7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B109F8"/>
    <w:multiLevelType w:val="hybridMultilevel"/>
    <w:tmpl w:val="82D231E8"/>
    <w:lvl w:ilvl="0" w:tplc="22B82FE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26E42"/>
    <w:multiLevelType w:val="hybridMultilevel"/>
    <w:tmpl w:val="91E0E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4B1094"/>
    <w:multiLevelType w:val="hybridMultilevel"/>
    <w:tmpl w:val="128CD31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7B1694"/>
    <w:multiLevelType w:val="hybridMultilevel"/>
    <w:tmpl w:val="DC3CA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CB202A"/>
    <w:multiLevelType w:val="hybridMultilevel"/>
    <w:tmpl w:val="517EA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6B"/>
    <w:rsid w:val="000030FF"/>
    <w:rsid w:val="0000726C"/>
    <w:rsid w:val="000174A8"/>
    <w:rsid w:val="00021257"/>
    <w:rsid w:val="000429BE"/>
    <w:rsid w:val="0005222E"/>
    <w:rsid w:val="000565E7"/>
    <w:rsid w:val="0007039B"/>
    <w:rsid w:val="00074522"/>
    <w:rsid w:val="000911C4"/>
    <w:rsid w:val="000918A0"/>
    <w:rsid w:val="000A1044"/>
    <w:rsid w:val="000B1C56"/>
    <w:rsid w:val="000C3ED7"/>
    <w:rsid w:val="000C4282"/>
    <w:rsid w:val="000C6782"/>
    <w:rsid w:val="000D218F"/>
    <w:rsid w:val="000D75E6"/>
    <w:rsid w:val="000E06E9"/>
    <w:rsid w:val="000E500F"/>
    <w:rsid w:val="000F0CDE"/>
    <w:rsid w:val="001230A8"/>
    <w:rsid w:val="001512F8"/>
    <w:rsid w:val="0015301C"/>
    <w:rsid w:val="00154BC4"/>
    <w:rsid w:val="001625AB"/>
    <w:rsid w:val="00164371"/>
    <w:rsid w:val="00172C5E"/>
    <w:rsid w:val="001A0DFF"/>
    <w:rsid w:val="001A11DB"/>
    <w:rsid w:val="001A3CBB"/>
    <w:rsid w:val="001A526E"/>
    <w:rsid w:val="001B39CE"/>
    <w:rsid w:val="001C1EE1"/>
    <w:rsid w:val="001C5CFC"/>
    <w:rsid w:val="001C75F8"/>
    <w:rsid w:val="001D692E"/>
    <w:rsid w:val="00201F3B"/>
    <w:rsid w:val="002242C4"/>
    <w:rsid w:val="002448CD"/>
    <w:rsid w:val="00257D7E"/>
    <w:rsid w:val="00265475"/>
    <w:rsid w:val="00271ACA"/>
    <w:rsid w:val="00277372"/>
    <w:rsid w:val="002811AF"/>
    <w:rsid w:val="0029436C"/>
    <w:rsid w:val="002A1524"/>
    <w:rsid w:val="002B616F"/>
    <w:rsid w:val="002C015D"/>
    <w:rsid w:val="002E19DB"/>
    <w:rsid w:val="002E22DE"/>
    <w:rsid w:val="002E3D71"/>
    <w:rsid w:val="00303210"/>
    <w:rsid w:val="003034C3"/>
    <w:rsid w:val="003059DF"/>
    <w:rsid w:val="00326E6B"/>
    <w:rsid w:val="00335597"/>
    <w:rsid w:val="00351B88"/>
    <w:rsid w:val="00357DED"/>
    <w:rsid w:val="003645E4"/>
    <w:rsid w:val="00390417"/>
    <w:rsid w:val="003959E1"/>
    <w:rsid w:val="003A7A1E"/>
    <w:rsid w:val="003B233E"/>
    <w:rsid w:val="003D58D3"/>
    <w:rsid w:val="00401264"/>
    <w:rsid w:val="004240F4"/>
    <w:rsid w:val="0043212F"/>
    <w:rsid w:val="00437D05"/>
    <w:rsid w:val="00442F5A"/>
    <w:rsid w:val="004516DF"/>
    <w:rsid w:val="00455E46"/>
    <w:rsid w:val="004678A3"/>
    <w:rsid w:val="004745C0"/>
    <w:rsid w:val="00491056"/>
    <w:rsid w:val="00493F1C"/>
    <w:rsid w:val="004B2F9D"/>
    <w:rsid w:val="004C3196"/>
    <w:rsid w:val="004C3CC5"/>
    <w:rsid w:val="004C620D"/>
    <w:rsid w:val="004D61B4"/>
    <w:rsid w:val="004E02AF"/>
    <w:rsid w:val="00517A4E"/>
    <w:rsid w:val="0052100F"/>
    <w:rsid w:val="005224CF"/>
    <w:rsid w:val="00525A9B"/>
    <w:rsid w:val="00536625"/>
    <w:rsid w:val="0053731A"/>
    <w:rsid w:val="0058193E"/>
    <w:rsid w:val="00587BD3"/>
    <w:rsid w:val="00590E21"/>
    <w:rsid w:val="005A68B8"/>
    <w:rsid w:val="005B1DFD"/>
    <w:rsid w:val="005B6209"/>
    <w:rsid w:val="005C4134"/>
    <w:rsid w:val="005D01A7"/>
    <w:rsid w:val="00600D9F"/>
    <w:rsid w:val="0061330A"/>
    <w:rsid w:val="006150E8"/>
    <w:rsid w:val="00616B88"/>
    <w:rsid w:val="006237A5"/>
    <w:rsid w:val="00635429"/>
    <w:rsid w:val="00637238"/>
    <w:rsid w:val="0064259D"/>
    <w:rsid w:val="00683738"/>
    <w:rsid w:val="006C3180"/>
    <w:rsid w:val="006C4B37"/>
    <w:rsid w:val="006C55F3"/>
    <w:rsid w:val="006D4CD5"/>
    <w:rsid w:val="0070419A"/>
    <w:rsid w:val="0073326C"/>
    <w:rsid w:val="00740D02"/>
    <w:rsid w:val="00744C48"/>
    <w:rsid w:val="007539E6"/>
    <w:rsid w:val="007609EF"/>
    <w:rsid w:val="00763291"/>
    <w:rsid w:val="00771AEF"/>
    <w:rsid w:val="00782BC6"/>
    <w:rsid w:val="007854B8"/>
    <w:rsid w:val="007A720E"/>
    <w:rsid w:val="007B66CD"/>
    <w:rsid w:val="007B7EE4"/>
    <w:rsid w:val="007D298D"/>
    <w:rsid w:val="00802E57"/>
    <w:rsid w:val="008347D4"/>
    <w:rsid w:val="0084008F"/>
    <w:rsid w:val="008403E8"/>
    <w:rsid w:val="008505D7"/>
    <w:rsid w:val="00860371"/>
    <w:rsid w:val="00867129"/>
    <w:rsid w:val="008A0696"/>
    <w:rsid w:val="008C2D49"/>
    <w:rsid w:val="008D5A94"/>
    <w:rsid w:val="008F46FA"/>
    <w:rsid w:val="008F502B"/>
    <w:rsid w:val="009045FC"/>
    <w:rsid w:val="00904F56"/>
    <w:rsid w:val="00913630"/>
    <w:rsid w:val="00923B6E"/>
    <w:rsid w:val="009372A2"/>
    <w:rsid w:val="00951C16"/>
    <w:rsid w:val="00953598"/>
    <w:rsid w:val="0095724A"/>
    <w:rsid w:val="0096003E"/>
    <w:rsid w:val="00966F30"/>
    <w:rsid w:val="0097086B"/>
    <w:rsid w:val="00970FEA"/>
    <w:rsid w:val="009728DA"/>
    <w:rsid w:val="00980BD0"/>
    <w:rsid w:val="00983A73"/>
    <w:rsid w:val="00993984"/>
    <w:rsid w:val="009B48B2"/>
    <w:rsid w:val="009B5B49"/>
    <w:rsid w:val="009B7B9A"/>
    <w:rsid w:val="009C6374"/>
    <w:rsid w:val="009D56EE"/>
    <w:rsid w:val="009D5775"/>
    <w:rsid w:val="009E2A95"/>
    <w:rsid w:val="009E737D"/>
    <w:rsid w:val="009F26A6"/>
    <w:rsid w:val="009F5422"/>
    <w:rsid w:val="00A42387"/>
    <w:rsid w:val="00A451BD"/>
    <w:rsid w:val="00A50D97"/>
    <w:rsid w:val="00A528A3"/>
    <w:rsid w:val="00A64A38"/>
    <w:rsid w:val="00A64C68"/>
    <w:rsid w:val="00A73E19"/>
    <w:rsid w:val="00AA271D"/>
    <w:rsid w:val="00AA41DF"/>
    <w:rsid w:val="00AB49C6"/>
    <w:rsid w:val="00AC006E"/>
    <w:rsid w:val="00AC2371"/>
    <w:rsid w:val="00AC338D"/>
    <w:rsid w:val="00AD1141"/>
    <w:rsid w:val="00AD12B5"/>
    <w:rsid w:val="00AD2E80"/>
    <w:rsid w:val="00AD4288"/>
    <w:rsid w:val="00AD43F1"/>
    <w:rsid w:val="00AE5126"/>
    <w:rsid w:val="00B01493"/>
    <w:rsid w:val="00B06186"/>
    <w:rsid w:val="00B1032E"/>
    <w:rsid w:val="00B107C8"/>
    <w:rsid w:val="00B26E4F"/>
    <w:rsid w:val="00B30C71"/>
    <w:rsid w:val="00B42B1D"/>
    <w:rsid w:val="00B47C1B"/>
    <w:rsid w:val="00B47D05"/>
    <w:rsid w:val="00B50ACB"/>
    <w:rsid w:val="00B557A8"/>
    <w:rsid w:val="00B56948"/>
    <w:rsid w:val="00B67E4F"/>
    <w:rsid w:val="00B75C71"/>
    <w:rsid w:val="00B8421A"/>
    <w:rsid w:val="00B94610"/>
    <w:rsid w:val="00B97D52"/>
    <w:rsid w:val="00BA3393"/>
    <w:rsid w:val="00BA6563"/>
    <w:rsid w:val="00BA6CF2"/>
    <w:rsid w:val="00BA729C"/>
    <w:rsid w:val="00BB4DBE"/>
    <w:rsid w:val="00BC121E"/>
    <w:rsid w:val="00BC20C5"/>
    <w:rsid w:val="00BC3E4C"/>
    <w:rsid w:val="00BD1407"/>
    <w:rsid w:val="00BF1BAE"/>
    <w:rsid w:val="00BF303F"/>
    <w:rsid w:val="00C473F2"/>
    <w:rsid w:val="00C5516D"/>
    <w:rsid w:val="00C700B7"/>
    <w:rsid w:val="00C76C11"/>
    <w:rsid w:val="00C87F9F"/>
    <w:rsid w:val="00C92DF8"/>
    <w:rsid w:val="00C962E4"/>
    <w:rsid w:val="00C96938"/>
    <w:rsid w:val="00CD5D88"/>
    <w:rsid w:val="00CE172B"/>
    <w:rsid w:val="00CE21B2"/>
    <w:rsid w:val="00D048B3"/>
    <w:rsid w:val="00D20A40"/>
    <w:rsid w:val="00D30EC5"/>
    <w:rsid w:val="00D452B0"/>
    <w:rsid w:val="00D45E1D"/>
    <w:rsid w:val="00D4769C"/>
    <w:rsid w:val="00D51A78"/>
    <w:rsid w:val="00D71C03"/>
    <w:rsid w:val="00D733CD"/>
    <w:rsid w:val="00D744B7"/>
    <w:rsid w:val="00D90629"/>
    <w:rsid w:val="00DC5650"/>
    <w:rsid w:val="00DC7907"/>
    <w:rsid w:val="00DD5528"/>
    <w:rsid w:val="00DE047E"/>
    <w:rsid w:val="00E17596"/>
    <w:rsid w:val="00E27DD5"/>
    <w:rsid w:val="00E33994"/>
    <w:rsid w:val="00E352E4"/>
    <w:rsid w:val="00E40424"/>
    <w:rsid w:val="00E45157"/>
    <w:rsid w:val="00E46263"/>
    <w:rsid w:val="00E5729D"/>
    <w:rsid w:val="00E57EB2"/>
    <w:rsid w:val="00E6526B"/>
    <w:rsid w:val="00E66DE1"/>
    <w:rsid w:val="00E9373F"/>
    <w:rsid w:val="00E94562"/>
    <w:rsid w:val="00EA6B1E"/>
    <w:rsid w:val="00EC2575"/>
    <w:rsid w:val="00EC42F4"/>
    <w:rsid w:val="00ED38BC"/>
    <w:rsid w:val="00EE0839"/>
    <w:rsid w:val="00EE3A85"/>
    <w:rsid w:val="00EE68E8"/>
    <w:rsid w:val="00EF3A45"/>
    <w:rsid w:val="00F22318"/>
    <w:rsid w:val="00F24DBD"/>
    <w:rsid w:val="00F34A4D"/>
    <w:rsid w:val="00F43059"/>
    <w:rsid w:val="00F73046"/>
    <w:rsid w:val="00F74D33"/>
    <w:rsid w:val="00F7667D"/>
    <w:rsid w:val="00F96B22"/>
    <w:rsid w:val="00FB008E"/>
    <w:rsid w:val="00FB5454"/>
    <w:rsid w:val="00FD323F"/>
    <w:rsid w:val="00FE1929"/>
    <w:rsid w:val="00FF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E8A3C67-8927-47E4-ABEE-00F59C9A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6B"/>
    <w:pPr>
      <w:ind w:left="720"/>
      <w:contextualSpacing/>
    </w:pPr>
  </w:style>
  <w:style w:type="paragraph" w:styleId="NoSpacing">
    <w:name w:val="No Spacing"/>
    <w:uiPriority w:val="1"/>
    <w:qFormat/>
    <w:rsid w:val="0097086B"/>
    <w:rPr>
      <w:sz w:val="22"/>
      <w:szCs w:val="22"/>
    </w:rPr>
  </w:style>
  <w:style w:type="paragraph" w:styleId="Header">
    <w:name w:val="header"/>
    <w:basedOn w:val="Normal"/>
    <w:link w:val="HeaderChar"/>
    <w:uiPriority w:val="99"/>
    <w:unhideWhenUsed/>
    <w:rsid w:val="00D20A40"/>
    <w:pPr>
      <w:tabs>
        <w:tab w:val="center" w:pos="4680"/>
        <w:tab w:val="right" w:pos="9360"/>
      </w:tabs>
    </w:pPr>
  </w:style>
  <w:style w:type="character" w:customStyle="1" w:styleId="HeaderChar">
    <w:name w:val="Header Char"/>
    <w:link w:val="Header"/>
    <w:uiPriority w:val="99"/>
    <w:rsid w:val="00D20A40"/>
    <w:rPr>
      <w:sz w:val="22"/>
      <w:szCs w:val="22"/>
    </w:rPr>
  </w:style>
  <w:style w:type="paragraph" w:styleId="Footer">
    <w:name w:val="footer"/>
    <w:basedOn w:val="Normal"/>
    <w:link w:val="FooterChar"/>
    <w:uiPriority w:val="99"/>
    <w:unhideWhenUsed/>
    <w:rsid w:val="00D20A40"/>
    <w:pPr>
      <w:tabs>
        <w:tab w:val="center" w:pos="4680"/>
        <w:tab w:val="right" w:pos="9360"/>
      </w:tabs>
    </w:pPr>
  </w:style>
  <w:style w:type="character" w:customStyle="1" w:styleId="FooterChar">
    <w:name w:val="Footer Char"/>
    <w:link w:val="Footer"/>
    <w:uiPriority w:val="99"/>
    <w:rsid w:val="00D20A40"/>
    <w:rPr>
      <w:sz w:val="22"/>
      <w:szCs w:val="22"/>
    </w:rPr>
  </w:style>
  <w:style w:type="paragraph" w:styleId="BalloonText">
    <w:name w:val="Balloon Text"/>
    <w:basedOn w:val="Normal"/>
    <w:link w:val="BalloonTextChar"/>
    <w:uiPriority w:val="99"/>
    <w:semiHidden/>
    <w:unhideWhenUsed/>
    <w:rsid w:val="004745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45C0"/>
    <w:rPr>
      <w:rFonts w:ascii="Tahoma" w:hAnsi="Tahoma" w:cs="Tahoma"/>
      <w:sz w:val="16"/>
      <w:szCs w:val="16"/>
    </w:rPr>
  </w:style>
  <w:style w:type="character" w:styleId="CommentReference">
    <w:name w:val="annotation reference"/>
    <w:uiPriority w:val="99"/>
    <w:semiHidden/>
    <w:unhideWhenUsed/>
    <w:rsid w:val="00BA729C"/>
    <w:rPr>
      <w:sz w:val="16"/>
      <w:szCs w:val="16"/>
    </w:rPr>
  </w:style>
  <w:style w:type="paragraph" w:styleId="CommentText">
    <w:name w:val="annotation text"/>
    <w:basedOn w:val="Normal"/>
    <w:link w:val="CommentTextChar"/>
    <w:uiPriority w:val="99"/>
    <w:semiHidden/>
    <w:unhideWhenUsed/>
    <w:rsid w:val="00BA729C"/>
    <w:rPr>
      <w:sz w:val="20"/>
      <w:szCs w:val="20"/>
    </w:rPr>
  </w:style>
  <w:style w:type="character" w:customStyle="1" w:styleId="CommentTextChar">
    <w:name w:val="Comment Text Char"/>
    <w:basedOn w:val="DefaultParagraphFont"/>
    <w:link w:val="CommentText"/>
    <w:uiPriority w:val="99"/>
    <w:semiHidden/>
    <w:rsid w:val="00BA729C"/>
  </w:style>
  <w:style w:type="paragraph" w:styleId="CommentSubject">
    <w:name w:val="annotation subject"/>
    <w:basedOn w:val="CommentText"/>
    <w:next w:val="CommentText"/>
    <w:link w:val="CommentSubjectChar"/>
    <w:uiPriority w:val="99"/>
    <w:semiHidden/>
    <w:unhideWhenUsed/>
    <w:rsid w:val="00BA729C"/>
    <w:rPr>
      <w:b/>
      <w:bCs/>
    </w:rPr>
  </w:style>
  <w:style w:type="character" w:customStyle="1" w:styleId="CommentSubjectChar">
    <w:name w:val="Comment Subject Char"/>
    <w:link w:val="CommentSubject"/>
    <w:uiPriority w:val="99"/>
    <w:semiHidden/>
    <w:rsid w:val="00BA729C"/>
    <w:rPr>
      <w:b/>
      <w:bCs/>
    </w:rPr>
  </w:style>
  <w:style w:type="character" w:styleId="Hyperlink">
    <w:name w:val="Hyperlink"/>
    <w:uiPriority w:val="99"/>
    <w:unhideWhenUsed/>
    <w:rsid w:val="00C962E4"/>
    <w:rPr>
      <w:color w:val="0563C1"/>
      <w:u w:val="single"/>
    </w:rPr>
  </w:style>
  <w:style w:type="character" w:styleId="UnresolvedMention">
    <w:name w:val="Unresolved Mention"/>
    <w:uiPriority w:val="99"/>
    <w:semiHidden/>
    <w:unhideWhenUsed/>
    <w:rsid w:val="00C962E4"/>
    <w:rPr>
      <w:color w:val="605E5C"/>
      <w:shd w:val="clear" w:color="auto" w:fill="E1DFDD"/>
    </w:rPr>
  </w:style>
  <w:style w:type="paragraph" w:customStyle="1" w:styleId="Default">
    <w:name w:val="Default"/>
    <w:rsid w:val="00C962E4"/>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autoRedefine/>
    <w:uiPriority w:val="10"/>
    <w:qFormat/>
    <w:rsid w:val="00357DED"/>
    <w:pPr>
      <w:spacing w:after="0" w:line="240" w:lineRule="auto"/>
      <w:contextualSpacing/>
    </w:pPr>
    <w:rPr>
      <w:rFonts w:ascii="Cambria" w:eastAsiaTheme="majorEastAsia" w:hAnsi="Cambria" w:cstheme="majorBidi"/>
      <w:spacing w:val="-10"/>
      <w:kern w:val="28"/>
      <w:sz w:val="32"/>
      <w:szCs w:val="56"/>
    </w:rPr>
  </w:style>
  <w:style w:type="character" w:customStyle="1" w:styleId="TitleChar">
    <w:name w:val="Title Char"/>
    <w:basedOn w:val="DefaultParagraphFont"/>
    <w:link w:val="Title"/>
    <w:uiPriority w:val="10"/>
    <w:rsid w:val="00357DED"/>
    <w:rPr>
      <w:rFonts w:ascii="Cambria" w:eastAsiaTheme="majorEastAsia" w:hAnsi="Cambria"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hapthIRB@v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A5AAD-A5F8-4B7C-A9C3-530D9521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10160</CharactersWithSpaces>
  <SharedDoc>false</SharedDoc>
  <HLinks>
    <vt:vector size="6" baseType="variant">
      <vt:variant>
        <vt:i4>3997710</vt:i4>
      </vt:variant>
      <vt:variant>
        <vt:i4>0</vt:i4>
      </vt:variant>
      <vt:variant>
        <vt:i4>0</vt:i4>
      </vt:variant>
      <vt:variant>
        <vt:i4>5</vt:i4>
      </vt:variant>
      <vt:variant>
        <vt:lpwstr>mailto:vhapthIRB@va.gov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VHAPTHRoolfD</dc:creator>
  <cp:keywords/>
  <cp:lastModifiedBy>Claire</cp:lastModifiedBy>
  <cp:revision>2</cp:revision>
  <cp:lastPrinted>2016-12-12T12:26:00Z</cp:lastPrinted>
  <dcterms:created xsi:type="dcterms:W3CDTF">2020-09-05T00:11:00Z</dcterms:created>
  <dcterms:modified xsi:type="dcterms:W3CDTF">2020-09-05T00:11:00Z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