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EF64" w14:textId="1C66AACB" w:rsidR="00A62ECA" w:rsidRDefault="00C922E2" w:rsidP="009B05A0">
      <w:pPr>
        <w:pStyle w:val="Heading1"/>
        <w:jc w:val="center"/>
      </w:pPr>
      <w:bookmarkStart w:id="0" w:name="_GoBack"/>
      <w:bookmarkEnd w:id="0"/>
      <w:r>
        <w:t>Institutional Biosafety Committee (IBC) Oversight of Laboratory Safety for VA-Funded Research Conducted at the University of Pittsburgh</w:t>
      </w:r>
    </w:p>
    <w:p w14:paraId="3FE0A94F" w14:textId="665786D2" w:rsidR="00651053" w:rsidRDefault="00B730A3" w:rsidP="00651053">
      <w:pPr>
        <w:jc w:val="right"/>
        <w:rPr>
          <w:b/>
        </w:rPr>
      </w:pPr>
      <w:r>
        <w:rPr>
          <w:b/>
        </w:rPr>
        <w:t>Policy #S-004</w:t>
      </w:r>
    </w:p>
    <w:p w14:paraId="3BE624DB" w14:textId="77777777" w:rsidR="006E3AE5" w:rsidRDefault="006E3AE5" w:rsidP="00966820">
      <w:pPr>
        <w:rPr>
          <w:b/>
        </w:rPr>
        <w:sectPr w:rsidR="006E3AE5" w:rsidSect="008E6032">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p>
    <w:p w14:paraId="1677250A" w14:textId="619252DB" w:rsidR="00966820" w:rsidRDefault="00CD3D24" w:rsidP="00651053">
      <w:r>
        <w:t xml:space="preserve">VA Pittsburgh Healthcare System </w:t>
      </w:r>
      <w:r w:rsidR="00651053">
        <w:br/>
      </w:r>
      <w:r>
        <w:t>Pittsburgh, PA  15240</w:t>
      </w:r>
    </w:p>
    <w:p w14:paraId="05E2EF7F" w14:textId="10501487" w:rsidR="00966820" w:rsidRPr="00651053" w:rsidRDefault="00966820" w:rsidP="00651053">
      <w:pPr>
        <w:rPr>
          <w:b/>
        </w:rPr>
      </w:pPr>
      <w:r w:rsidRPr="00966820">
        <w:rPr>
          <w:b/>
        </w:rPr>
        <w:t>Signatory Authority:</w:t>
      </w:r>
      <w:r w:rsidR="00651053">
        <w:rPr>
          <w:b/>
        </w:rPr>
        <w:br/>
      </w:r>
      <w:r w:rsidR="00B730A3">
        <w:t>Dr. Steven Graham, ACOS</w:t>
      </w:r>
    </w:p>
    <w:p w14:paraId="01F4458A" w14:textId="135C06CC" w:rsidR="00966820" w:rsidRPr="00651053" w:rsidRDefault="00966820" w:rsidP="00651053">
      <w:pPr>
        <w:rPr>
          <w:b/>
        </w:rPr>
      </w:pPr>
      <w:r w:rsidRPr="00966820">
        <w:rPr>
          <w:b/>
        </w:rPr>
        <w:t>Responsible Owner:</w:t>
      </w:r>
      <w:r w:rsidR="00651053">
        <w:rPr>
          <w:b/>
        </w:rPr>
        <w:br/>
      </w:r>
      <w:r w:rsidR="00B730A3">
        <w:t>Associate Chief of Staff/R&amp;D</w:t>
      </w:r>
    </w:p>
    <w:p w14:paraId="64501321" w14:textId="3210047E" w:rsidR="00651053" w:rsidRDefault="00966820" w:rsidP="00651053">
      <w:pPr>
        <w:jc w:val="right"/>
      </w:pPr>
      <w:r w:rsidRPr="00966820">
        <w:rPr>
          <w:b/>
        </w:rPr>
        <w:t>Service Line</w:t>
      </w:r>
      <w:r>
        <w:rPr>
          <w:b/>
        </w:rPr>
        <w:t>(s)</w:t>
      </w:r>
      <w:r w:rsidRPr="00966820">
        <w:rPr>
          <w:b/>
        </w:rPr>
        <w:t>:</w:t>
      </w:r>
      <w:r w:rsidR="00651053">
        <w:rPr>
          <w:b/>
        </w:rPr>
        <w:br/>
      </w:r>
      <w:r w:rsidR="00B730A3">
        <w:t>Research and Development (R&amp;D) Department</w:t>
      </w:r>
    </w:p>
    <w:p w14:paraId="5749719E" w14:textId="23D6DE41" w:rsidR="00966820" w:rsidRDefault="00966820" w:rsidP="00651053">
      <w:pPr>
        <w:jc w:val="right"/>
      </w:pPr>
      <w:r w:rsidRPr="00966820">
        <w:rPr>
          <w:b/>
        </w:rPr>
        <w:t>Effective Date:</w:t>
      </w:r>
      <w:r w:rsidR="00651053">
        <w:rPr>
          <w:b/>
        </w:rPr>
        <w:br/>
      </w:r>
      <w:r w:rsidR="00F51222">
        <w:t xml:space="preserve">May </w:t>
      </w:r>
      <w:r w:rsidR="00E90751">
        <w:t>19</w:t>
      </w:r>
      <w:r>
        <w:t xml:space="preserve">, </w:t>
      </w:r>
      <w:r w:rsidR="00F51222">
        <w:t>2020</w:t>
      </w:r>
    </w:p>
    <w:p w14:paraId="4729A06F" w14:textId="213BDE77" w:rsidR="00966820" w:rsidRPr="00966820" w:rsidRDefault="00966820" w:rsidP="00651053">
      <w:pPr>
        <w:jc w:val="right"/>
      </w:pPr>
      <w:r w:rsidRPr="00966820">
        <w:rPr>
          <w:b/>
        </w:rPr>
        <w:t>Recertification Date:</w:t>
      </w:r>
      <w:r w:rsidR="00651053">
        <w:rPr>
          <w:b/>
        </w:rPr>
        <w:br/>
      </w:r>
      <w:r w:rsidR="00E90751">
        <w:t>December</w:t>
      </w:r>
      <w:r>
        <w:t xml:space="preserve"> </w:t>
      </w:r>
      <w:r w:rsidR="00F51222">
        <w:t>2021</w:t>
      </w:r>
    </w:p>
    <w:p w14:paraId="0EDCD7E9" w14:textId="77777777" w:rsidR="006E3AE5" w:rsidRDefault="006E3AE5" w:rsidP="00E01109">
      <w:pPr>
        <w:spacing w:after="0"/>
        <w:sectPr w:rsidR="006E3AE5" w:rsidSect="006E3AE5">
          <w:type w:val="continuous"/>
          <w:pgSz w:w="12240" w:h="15840"/>
          <w:pgMar w:top="1440" w:right="1440" w:bottom="1440" w:left="1440" w:header="720" w:footer="720" w:gutter="0"/>
          <w:cols w:num="2" w:space="720"/>
          <w:titlePg/>
          <w:docGrid w:linePitch="360"/>
        </w:sectPr>
      </w:pPr>
    </w:p>
    <w:p w14:paraId="04725E6A" w14:textId="77777777" w:rsidR="00E208C7" w:rsidRPr="00DD70A0" w:rsidRDefault="00E208C7" w:rsidP="00E208C7">
      <w:pPr>
        <w:pStyle w:val="Heading2"/>
        <w:keepNext w:val="0"/>
        <w:keepLines w:val="0"/>
        <w:numPr>
          <w:ilvl w:val="0"/>
          <w:numId w:val="6"/>
        </w:numPr>
        <w:rPr>
          <w:color w:val="auto"/>
        </w:rPr>
      </w:pPr>
      <w:r w:rsidRPr="00DD70A0">
        <w:rPr>
          <w:color w:val="auto"/>
        </w:rPr>
        <w:t>PURPOSE AND AUTHORITY</w:t>
      </w:r>
    </w:p>
    <w:p w14:paraId="5794CE62" w14:textId="71FC7A54" w:rsidR="00D37744" w:rsidRPr="00D37744" w:rsidRDefault="00D37744" w:rsidP="006F5908">
      <w:pPr>
        <w:pStyle w:val="Style1"/>
      </w:pPr>
      <w:r w:rsidRPr="00D37744">
        <w:t>The purpose of this policy is to describe the role of the VA Pittsburgh Healthcare System (VAPHS) Institutional Biosafety Committee (IBC) with respect to oversight of laboratory safety for Principal Investigators that conduct VA-funded research at the University of Pittsburgh.</w:t>
      </w:r>
    </w:p>
    <w:p w14:paraId="031688FE" w14:textId="70335A56" w:rsidR="00531C2F" w:rsidRPr="00531C2F" w:rsidRDefault="00531C2F" w:rsidP="006F5908">
      <w:pPr>
        <w:pStyle w:val="Style1"/>
      </w:pPr>
      <w:r w:rsidRPr="00531C2F">
        <w:t>This SOP sets forth mandatory procedures and processes to ensure compliance with VHA Directive 1200.08, Safety of Personnel and Security of Laboratories Involved in VA Research, April 24, 2019.</w:t>
      </w:r>
    </w:p>
    <w:p w14:paraId="329CCAAC" w14:textId="55B6E141" w:rsidR="00E208C7" w:rsidRPr="00DD70A0" w:rsidRDefault="00531C2F" w:rsidP="006F5908">
      <w:pPr>
        <w:pStyle w:val="Style1"/>
      </w:pPr>
      <w:r w:rsidRPr="00531C2F">
        <w:t>This policy applies to all research that is conducted at the University of Pittsburgh by VAPHS researchers while on VA time.</w:t>
      </w:r>
    </w:p>
    <w:p w14:paraId="649A444D" w14:textId="77777777" w:rsidR="00E208C7" w:rsidRPr="00DD70A0" w:rsidRDefault="00E208C7" w:rsidP="006F5908">
      <w:pPr>
        <w:pStyle w:val="Style7"/>
      </w:pPr>
      <w:r w:rsidRPr="00DD70A0">
        <w:t>PROCEDURES</w:t>
      </w:r>
    </w:p>
    <w:p w14:paraId="6214965A" w14:textId="77777777" w:rsidR="00584B85" w:rsidRPr="00584B85" w:rsidRDefault="00584B85" w:rsidP="006F5908">
      <w:pPr>
        <w:pStyle w:val="Style2"/>
      </w:pPr>
      <w:r w:rsidRPr="00584B85">
        <w:t xml:space="preserve">Introduction. </w:t>
      </w:r>
    </w:p>
    <w:p w14:paraId="5526705E" w14:textId="77777777" w:rsidR="00565184" w:rsidRPr="00565184" w:rsidRDefault="00565184" w:rsidP="00565184">
      <w:pPr>
        <w:ind w:left="360"/>
        <w:rPr>
          <w:color w:val="auto"/>
        </w:rPr>
      </w:pPr>
      <w:r w:rsidRPr="00565184">
        <w:rPr>
          <w:color w:val="auto"/>
        </w:rPr>
        <w:t>There are circumstances in which VA-funded research is performed at the University of Pittsburgh.  As a result, it is imperative that the VAPHS IBC have procedures in place that address the following issues:</w:t>
      </w:r>
    </w:p>
    <w:p w14:paraId="3EB1981F" w14:textId="77777777" w:rsidR="00565184" w:rsidRPr="00565184" w:rsidRDefault="00565184" w:rsidP="006F5908">
      <w:pPr>
        <w:pStyle w:val="Style3"/>
      </w:pPr>
      <w:r w:rsidRPr="00565184">
        <w:t>Review and approval of research</w:t>
      </w:r>
    </w:p>
    <w:p w14:paraId="3E25AC29" w14:textId="77777777" w:rsidR="00565184" w:rsidRPr="00565184" w:rsidRDefault="00565184" w:rsidP="006F5908">
      <w:pPr>
        <w:pStyle w:val="Style3"/>
      </w:pPr>
      <w:r w:rsidRPr="00565184">
        <w:t>Laboratory Safety Review</w:t>
      </w:r>
    </w:p>
    <w:p w14:paraId="464A8500" w14:textId="77777777" w:rsidR="00565184" w:rsidRPr="00565184" w:rsidRDefault="00565184" w:rsidP="006F5908">
      <w:pPr>
        <w:pStyle w:val="Style3"/>
      </w:pPr>
      <w:r w:rsidRPr="00565184">
        <w:t>Training</w:t>
      </w:r>
    </w:p>
    <w:p w14:paraId="341444EC" w14:textId="77777777" w:rsidR="00565184" w:rsidRPr="00584B85" w:rsidRDefault="00565184" w:rsidP="00584B85">
      <w:pPr>
        <w:ind w:left="360"/>
        <w:rPr>
          <w:color w:val="auto"/>
        </w:rPr>
      </w:pPr>
    </w:p>
    <w:p w14:paraId="1D10160B" w14:textId="77777777" w:rsidR="00584B85" w:rsidRPr="00584B85" w:rsidRDefault="00584B85" w:rsidP="006F5908">
      <w:pPr>
        <w:pStyle w:val="Style2"/>
      </w:pPr>
      <w:r w:rsidRPr="00584B85">
        <w:t xml:space="preserve">Policy. </w:t>
      </w:r>
    </w:p>
    <w:p w14:paraId="7E86FF96" w14:textId="5C3C2819" w:rsidR="00565184" w:rsidRPr="00565184" w:rsidRDefault="00565184" w:rsidP="006F5908">
      <w:pPr>
        <w:pStyle w:val="Style4"/>
      </w:pPr>
      <w:r w:rsidRPr="00565184">
        <w:t>Review and Approval of Research</w:t>
      </w:r>
    </w:p>
    <w:p w14:paraId="5794A3E9" w14:textId="77777777" w:rsidR="00565184" w:rsidRPr="00565184" w:rsidRDefault="00565184" w:rsidP="006F5908">
      <w:pPr>
        <w:pStyle w:val="Style6"/>
      </w:pPr>
      <w:r w:rsidRPr="00565184">
        <w:lastRenderedPageBreak/>
        <w:t>The VAPHS and the University of Pittsburgh each have their own established IBC.  The following outlines when review by the VAPHS IBC is necessary for work that is conducted at the University of Pittsburgh.</w:t>
      </w:r>
    </w:p>
    <w:p w14:paraId="5E7FA254" w14:textId="0ACBE73C" w:rsidR="00A869F8" w:rsidRDefault="00565184" w:rsidP="00565184">
      <w:pPr>
        <w:ind w:left="360"/>
        <w:rPr>
          <w:color w:val="auto"/>
        </w:rPr>
      </w:pPr>
      <w:r w:rsidRPr="00565184">
        <w:rPr>
          <w:color w:val="auto"/>
        </w:rPr>
        <w:t>Research conducted at the University of Pittsburgh with funding administered through the VAPHS</w:t>
      </w:r>
      <w:r w:rsidR="00A869F8">
        <w:rPr>
          <w:color w:val="auto"/>
        </w:rPr>
        <w:t>:</w:t>
      </w:r>
      <w:r w:rsidRPr="00565184">
        <w:rPr>
          <w:color w:val="auto"/>
        </w:rPr>
        <w:t xml:space="preserve">  </w:t>
      </w:r>
    </w:p>
    <w:p w14:paraId="6379A047" w14:textId="1CFE2FE2" w:rsidR="00565184" w:rsidRPr="00A869F8" w:rsidRDefault="00565184" w:rsidP="006F5908">
      <w:pPr>
        <w:pStyle w:val="Style5"/>
        <w:rPr>
          <w:color w:val="auto"/>
        </w:rPr>
      </w:pPr>
      <w:r w:rsidRPr="00565184">
        <w:t xml:space="preserve">In accordance with VHA Directive 1200.08, all research that is funded through the VAPHS must be reviewed by the VAPHS IBC, even if that research is being conducted at the University of Pittsburgh.  In such instances, investigators will be expected to </w:t>
      </w:r>
      <w:proofErr w:type="gramStart"/>
      <w:r w:rsidRPr="00565184">
        <w:t>submit an application</w:t>
      </w:r>
      <w:proofErr w:type="gramEnd"/>
      <w:r w:rsidRPr="00565184">
        <w:t xml:space="preserve"> to </w:t>
      </w:r>
      <w:r>
        <w:t xml:space="preserve">the </w:t>
      </w:r>
      <w:r w:rsidRPr="00565184">
        <w:t>VAPHS IBC.</w:t>
      </w:r>
    </w:p>
    <w:p w14:paraId="4C06BA67" w14:textId="46E6FC32" w:rsidR="00565184" w:rsidRPr="00565184" w:rsidRDefault="00565184" w:rsidP="006F5908">
      <w:pPr>
        <w:pStyle w:val="Style5"/>
      </w:pPr>
      <w:r w:rsidRPr="00565184">
        <w:t>Investigators may make submissions to both the University of Pittsburgh IBC and the VAPHS IBC in parallel, however, each submission must be made using the appropriate forms and following the procedures outlined by each institution.  The VAPHS IBC will conduct its review of the project ensuring that all requirements related to VA research have been satisfied.</w:t>
      </w:r>
    </w:p>
    <w:p w14:paraId="3929EFDD" w14:textId="77777777" w:rsidR="00565184" w:rsidRPr="00565184" w:rsidRDefault="00565184" w:rsidP="00565184">
      <w:pPr>
        <w:pStyle w:val="NoSpacing"/>
        <w:ind w:left="1080"/>
        <w:rPr>
          <w:rFonts w:ascii="Arial" w:hAnsi="Arial" w:cs="Arial"/>
          <w:sz w:val="24"/>
          <w:szCs w:val="24"/>
        </w:rPr>
      </w:pPr>
    </w:p>
    <w:p w14:paraId="18E3C116" w14:textId="78A2B5E3" w:rsidR="00565184" w:rsidRPr="00565184" w:rsidRDefault="00565184" w:rsidP="006F5908">
      <w:pPr>
        <w:pStyle w:val="Style5"/>
      </w:pPr>
      <w:r w:rsidRPr="00565184">
        <w:t>If the Principal Investigator’s initial submission, amendment, or the annual renewal includes work with recombinant DNA, the VAPHS IBC will request confirmation of the University of Pittsburgh IBC approval.  A copy of the IBC protocol approval letter can be provided by the Principal Investigator or the University’s Recombinant DNA Office.</w:t>
      </w:r>
    </w:p>
    <w:p w14:paraId="74732DA0" w14:textId="77777777" w:rsidR="00565184" w:rsidRPr="00565184" w:rsidRDefault="00565184" w:rsidP="00565184">
      <w:pPr>
        <w:pStyle w:val="NoSpacing"/>
        <w:ind w:left="1080"/>
        <w:rPr>
          <w:rFonts w:ascii="Arial" w:hAnsi="Arial" w:cs="Arial"/>
          <w:sz w:val="24"/>
          <w:szCs w:val="24"/>
        </w:rPr>
      </w:pPr>
    </w:p>
    <w:p w14:paraId="01AA3BA7" w14:textId="3D9C79AA" w:rsidR="00565184" w:rsidRPr="00565184" w:rsidRDefault="00565184" w:rsidP="006F5908">
      <w:pPr>
        <w:pStyle w:val="Style5"/>
      </w:pPr>
      <w:r w:rsidRPr="00565184">
        <w:t xml:space="preserve">For all protocols that are submitted to the VAPHS, a review of proper procedures is performed during the annual laboratory inspections with the University of Pittsburgh Environmental Health and Safety (EH&amp;S) Department.  Please refer to section </w:t>
      </w:r>
      <w:r w:rsidR="000136CC">
        <w:t>(</w:t>
      </w:r>
      <w:r w:rsidRPr="00565184">
        <w:t>2</w:t>
      </w:r>
      <w:r w:rsidR="000136CC">
        <w:t>)</w:t>
      </w:r>
      <w:r w:rsidRPr="00565184">
        <w:t xml:space="preserve"> below. </w:t>
      </w:r>
    </w:p>
    <w:p w14:paraId="70C6DE0E" w14:textId="77777777" w:rsidR="00565184" w:rsidRPr="00565184" w:rsidRDefault="00565184" w:rsidP="00565184">
      <w:pPr>
        <w:rPr>
          <w:color w:val="auto"/>
        </w:rPr>
      </w:pPr>
    </w:p>
    <w:p w14:paraId="2D7DBAE3" w14:textId="04CF7F93" w:rsidR="00A20A85" w:rsidRPr="00A20A85" w:rsidRDefault="00584B85" w:rsidP="006F5908">
      <w:pPr>
        <w:pStyle w:val="Style4"/>
      </w:pPr>
      <w:r w:rsidRPr="00584B85">
        <w:t xml:space="preserve"> </w:t>
      </w:r>
      <w:r w:rsidR="00A20A85" w:rsidRPr="00A20A85">
        <w:t>Laboratory Safety Review</w:t>
      </w:r>
    </w:p>
    <w:p w14:paraId="7C03CB30" w14:textId="77777777" w:rsidR="00A20A85" w:rsidRPr="00A20A85" w:rsidRDefault="00A20A85" w:rsidP="006F5908">
      <w:pPr>
        <w:pStyle w:val="Style6"/>
      </w:pPr>
      <w:r w:rsidRPr="00A20A85">
        <w:t>In order to ensure that there is oversight of laboratory safety for Principal Investigators that have VA funding but work at the University of Pittsburgh, the following two items are performed:</w:t>
      </w:r>
    </w:p>
    <w:p w14:paraId="3896E46D" w14:textId="77777777" w:rsidR="00A20A85" w:rsidRPr="00FC7B53" w:rsidRDefault="00A20A85" w:rsidP="00A20A85">
      <w:pPr>
        <w:pStyle w:val="NoSpacing"/>
        <w:ind w:left="720" w:firstLine="720"/>
        <w:rPr>
          <w:rFonts w:ascii="Times New Roman" w:hAnsi="Times New Roman"/>
          <w:sz w:val="24"/>
          <w:szCs w:val="24"/>
        </w:rPr>
      </w:pPr>
      <w:r w:rsidRPr="00FC7B53">
        <w:rPr>
          <w:rFonts w:ascii="Times New Roman" w:hAnsi="Times New Roman"/>
          <w:sz w:val="24"/>
          <w:szCs w:val="24"/>
        </w:rPr>
        <w:t xml:space="preserve"> </w:t>
      </w:r>
    </w:p>
    <w:p w14:paraId="0FC60A55" w14:textId="77777777" w:rsidR="00A20A85" w:rsidRPr="00A20A85" w:rsidRDefault="00A20A85" w:rsidP="006F5908">
      <w:pPr>
        <w:pStyle w:val="Style5"/>
      </w:pPr>
      <w:r w:rsidRPr="00A20A85">
        <w:t>Investigators conducting VA-funded research and who work with chemicals in a University of Pittsburgh laboratory must submit their VAPHS chemical inventory to the VAPHS Biosafety Officer.  The inventory is requested twice a year.  Each inventory is reviewed upon receipt.</w:t>
      </w:r>
    </w:p>
    <w:p w14:paraId="3B872576" w14:textId="77777777" w:rsidR="00A20A85" w:rsidRPr="00A20A85" w:rsidRDefault="00A20A85" w:rsidP="00A20A85">
      <w:pPr>
        <w:pStyle w:val="NoSpacing"/>
        <w:ind w:left="1080"/>
        <w:rPr>
          <w:rFonts w:ascii="Arial" w:hAnsi="Arial" w:cs="Arial"/>
          <w:sz w:val="24"/>
          <w:szCs w:val="24"/>
        </w:rPr>
      </w:pPr>
    </w:p>
    <w:p w14:paraId="4AB4FDC1" w14:textId="2D136F16" w:rsidR="00A20A85" w:rsidRPr="00A20A85" w:rsidRDefault="00A20A85" w:rsidP="006F5908">
      <w:pPr>
        <w:pStyle w:val="Style5"/>
      </w:pPr>
      <w:r w:rsidRPr="00A20A85">
        <w:t xml:space="preserve">The VAPHS Biosafety Officer attends the laboratory inspections for VA- funded Principal Investigators that have their laboratories located at the </w:t>
      </w:r>
      <w:r w:rsidRPr="00A20A85">
        <w:lastRenderedPageBreak/>
        <w:t xml:space="preserve">University of Pittsburgh.  In collaboration with the University of Pittsburgh EH&amp;S Department, the inspections are performed on an annual basis.  Personnel from the University of Pittsburgh EH&amp;S Department write the laboratory inspection reports and then send them to the Principal Investigator and copy the VAPHS Biosafety Officer.  Every year, the list of VA-funded Principal Investigators is updated with University of Pittsburgh EH&amp;S Department to ensure that the VAPHS Biosafety Officer is included in these inspections. </w:t>
      </w:r>
    </w:p>
    <w:p w14:paraId="5D996C64" w14:textId="77777777" w:rsidR="00A20A85" w:rsidRPr="00FC7B53" w:rsidRDefault="00A20A85" w:rsidP="00A20A85">
      <w:pPr>
        <w:pStyle w:val="NoSpacing"/>
        <w:rPr>
          <w:rFonts w:ascii="Times New Roman" w:hAnsi="Times New Roman"/>
          <w:sz w:val="24"/>
          <w:szCs w:val="24"/>
        </w:rPr>
      </w:pPr>
    </w:p>
    <w:p w14:paraId="6E4CAA1B" w14:textId="78EE32F8" w:rsidR="00C922E2" w:rsidRPr="00D37744" w:rsidRDefault="00C922E2" w:rsidP="006F5908">
      <w:pPr>
        <w:pStyle w:val="Style4"/>
      </w:pPr>
      <w:r w:rsidRPr="00D37744">
        <w:t>Training</w:t>
      </w:r>
    </w:p>
    <w:p w14:paraId="58777749" w14:textId="77777777" w:rsidR="00C922E2" w:rsidRPr="00C922E2" w:rsidRDefault="00C922E2" w:rsidP="006F5908">
      <w:pPr>
        <w:pStyle w:val="Style6"/>
      </w:pPr>
      <w:r w:rsidRPr="00C922E2">
        <w:t xml:space="preserve">The VAPHS requires that individuals conducting research subject to this policy complete specific training related to working with hazardous agents in the laboratory including biological, chemical and radiological agents.  A Principal Investigator and his staff that conduct VA-funded research are required to take the VAPHS specific trainings and these trainings must be completed before the VAPHS IBC will approve the project.  </w:t>
      </w:r>
    </w:p>
    <w:p w14:paraId="722585D8" w14:textId="7D95E4BF" w:rsidR="00584B85" w:rsidRPr="00584B85" w:rsidRDefault="00584B85" w:rsidP="00C922E2">
      <w:pPr>
        <w:rPr>
          <w:color w:val="auto"/>
        </w:rPr>
      </w:pPr>
    </w:p>
    <w:p w14:paraId="248C92D3" w14:textId="77777777" w:rsidR="00584B85" w:rsidRPr="00584B85" w:rsidRDefault="00584B85" w:rsidP="006F5908">
      <w:pPr>
        <w:pStyle w:val="Style7"/>
      </w:pPr>
      <w:r w:rsidRPr="00584B85">
        <w:t>ASSIGNMENT OF RESPONSIBILITIES</w:t>
      </w:r>
    </w:p>
    <w:p w14:paraId="3FE97D19" w14:textId="34BC5BA8" w:rsidR="00584B85" w:rsidRPr="00584B85" w:rsidRDefault="006E0659" w:rsidP="006F5908">
      <w:pPr>
        <w:pStyle w:val="Style1"/>
      </w:pPr>
      <w:r>
        <w:t xml:space="preserve">The VAPHS IBC must review all research </w:t>
      </w:r>
      <w:r w:rsidR="00B52197">
        <w:t xml:space="preserve">studies </w:t>
      </w:r>
      <w:r>
        <w:t xml:space="preserve">that </w:t>
      </w:r>
      <w:r w:rsidR="00B52197">
        <w:t>are</w:t>
      </w:r>
      <w:r>
        <w:t xml:space="preserve"> funded through the VAPHS</w:t>
      </w:r>
      <w:r w:rsidR="00B52197">
        <w:t>; this includes VA research studies that occur on the VAPHS campus as well as VA research studies that occur on the campus for the University of Pittsburgh on VA time</w:t>
      </w:r>
      <w:r w:rsidR="00584B85" w:rsidRPr="00584B85">
        <w:t>.</w:t>
      </w:r>
    </w:p>
    <w:p w14:paraId="7B70F6C1" w14:textId="24F6CECE" w:rsidR="00584B85" w:rsidRDefault="006E0659" w:rsidP="006F5908">
      <w:pPr>
        <w:pStyle w:val="Style1"/>
      </w:pPr>
      <w:r>
        <w:t>Principal Investigators must submit research proposals through the VAPHS IBC.  In addition, they must submit a chemical inventory to the Biosafety Officer semi-annually</w:t>
      </w:r>
      <w:r w:rsidR="00584B85" w:rsidRPr="00584B85">
        <w:t xml:space="preserve">. </w:t>
      </w:r>
    </w:p>
    <w:p w14:paraId="2B688C47" w14:textId="77777777" w:rsidR="006E0659" w:rsidRPr="00584B85" w:rsidRDefault="006E0659" w:rsidP="006E0659">
      <w:pPr>
        <w:ind w:left="360"/>
        <w:rPr>
          <w:color w:val="auto"/>
        </w:rPr>
      </w:pPr>
    </w:p>
    <w:p w14:paraId="0C12A98A" w14:textId="77777777" w:rsidR="00584B85" w:rsidRPr="00584B85" w:rsidRDefault="00584B85" w:rsidP="006F5908">
      <w:pPr>
        <w:pStyle w:val="Style7"/>
      </w:pPr>
      <w:r w:rsidRPr="00584B85">
        <w:t>DEFINITIONS</w:t>
      </w:r>
    </w:p>
    <w:p w14:paraId="42FED6DE" w14:textId="0FCE1929" w:rsidR="00584B85" w:rsidRPr="00584B85" w:rsidRDefault="00B52197" w:rsidP="00B52197">
      <w:pPr>
        <w:ind w:left="360"/>
        <w:rPr>
          <w:bCs/>
          <w:color w:val="auto"/>
        </w:rPr>
      </w:pPr>
      <w:r w:rsidRPr="00B52197">
        <w:rPr>
          <w:bCs/>
        </w:rPr>
        <w:t>N/A</w:t>
      </w:r>
    </w:p>
    <w:p w14:paraId="6956AFD2" w14:textId="77777777" w:rsidR="00D37744" w:rsidRPr="00584B85" w:rsidRDefault="00D37744" w:rsidP="00B52197">
      <w:pPr>
        <w:rPr>
          <w:color w:val="auto"/>
        </w:rPr>
      </w:pPr>
    </w:p>
    <w:p w14:paraId="0BB60F00" w14:textId="77777777" w:rsidR="00584B85" w:rsidRPr="00584B85" w:rsidRDefault="00584B85" w:rsidP="006F5908">
      <w:pPr>
        <w:pStyle w:val="Style7"/>
      </w:pPr>
      <w:r w:rsidRPr="00584B85">
        <w:t>REFERENCES</w:t>
      </w:r>
    </w:p>
    <w:p w14:paraId="1ED9D668" w14:textId="7DEDE2A5" w:rsidR="00584B85" w:rsidRPr="00584B85" w:rsidRDefault="00584B85" w:rsidP="00D37744">
      <w:pPr>
        <w:ind w:left="360"/>
        <w:rPr>
          <w:color w:val="auto"/>
        </w:rPr>
      </w:pPr>
      <w:r w:rsidRPr="00584B85">
        <w:rPr>
          <w:color w:val="auto"/>
        </w:rPr>
        <w:t xml:space="preserve">VHA Directive 1200.08, Safety of Personnel and Security of Laboratories Involved in VA Research, April 24, 2019, </w:t>
      </w:r>
      <w:hyperlink r:id="rId13" w:history="1">
        <w:r w:rsidRPr="00584B85">
          <w:rPr>
            <w:color w:val="0563C1" w:themeColor="hyperlink"/>
            <w:u w:val="single"/>
          </w:rPr>
          <w:t>https://www.research.va.gov/resources/policies/handbooks.cfm</w:t>
        </w:r>
      </w:hyperlink>
      <w:r w:rsidRPr="00584B85">
        <w:rPr>
          <w:color w:val="auto"/>
        </w:rPr>
        <w:t xml:space="preserve"> </w:t>
      </w:r>
    </w:p>
    <w:p w14:paraId="6BDF18F1" w14:textId="77777777" w:rsidR="00D37744" w:rsidRDefault="00D37744" w:rsidP="00D37744">
      <w:pPr>
        <w:autoSpaceDE/>
        <w:autoSpaceDN/>
        <w:adjustRightInd/>
        <w:spacing w:after="160" w:line="259" w:lineRule="auto"/>
        <w:rPr>
          <w:color w:val="auto"/>
        </w:rPr>
      </w:pPr>
    </w:p>
    <w:p w14:paraId="5F67E78F" w14:textId="5F76B7DB" w:rsidR="00584B85" w:rsidRPr="00D37744" w:rsidRDefault="00584B85" w:rsidP="006F5908">
      <w:pPr>
        <w:pStyle w:val="Style7"/>
      </w:pPr>
      <w:r w:rsidRPr="00D37744">
        <w:lastRenderedPageBreak/>
        <w:t>REVIEW</w:t>
      </w:r>
    </w:p>
    <w:p w14:paraId="302B387C" w14:textId="3DA400DA" w:rsidR="00584B85" w:rsidRDefault="00584B85" w:rsidP="00584B85">
      <w:pPr>
        <w:tabs>
          <w:tab w:val="left" w:pos="360"/>
        </w:tabs>
        <w:rPr>
          <w:color w:val="auto"/>
          <w:szCs w:val="20"/>
        </w:rPr>
      </w:pPr>
      <w:r w:rsidRPr="00584B85">
        <w:rPr>
          <w:color w:val="auto"/>
          <w:szCs w:val="20"/>
        </w:rPr>
        <w:t>This policy is reviewed at recertification, when there are changes to the governing document (for example, national policy or an accreditation body mandate), and any regulatory requirement for more frequent review.</w:t>
      </w:r>
    </w:p>
    <w:p w14:paraId="57C184CF" w14:textId="77777777" w:rsidR="00D37744" w:rsidRPr="00584B85" w:rsidRDefault="00D37744" w:rsidP="00584B85">
      <w:pPr>
        <w:tabs>
          <w:tab w:val="left" w:pos="360"/>
        </w:tabs>
        <w:rPr>
          <w:color w:val="auto"/>
          <w:szCs w:val="20"/>
        </w:rPr>
      </w:pPr>
    </w:p>
    <w:p w14:paraId="0522B73B" w14:textId="77777777" w:rsidR="00584B85" w:rsidRPr="00584B85" w:rsidRDefault="00584B85" w:rsidP="006F5908">
      <w:pPr>
        <w:pStyle w:val="Style7"/>
      </w:pPr>
      <w:r w:rsidRPr="00584B85">
        <w:t>RECERTIFICATION</w:t>
      </w:r>
    </w:p>
    <w:p w14:paraId="1FDBFF2B" w14:textId="3610DC55" w:rsidR="00584B85" w:rsidRDefault="00584B85" w:rsidP="00584B85">
      <w:pPr>
        <w:tabs>
          <w:tab w:val="left" w:pos="360"/>
          <w:tab w:val="right" w:pos="9360"/>
        </w:tabs>
        <w:rPr>
          <w:color w:val="auto"/>
        </w:rPr>
      </w:pPr>
      <w:r w:rsidRPr="00584B85">
        <w:rPr>
          <w:color w:val="auto"/>
        </w:rPr>
        <w:t xml:space="preserve">This Policy is scheduled for recertification </w:t>
      </w:r>
      <w:bookmarkStart w:id="1" w:name="_Hlk9349166"/>
      <w:r w:rsidRPr="00584B85">
        <w:rPr>
          <w:color w:val="auto"/>
        </w:rPr>
        <w:t>fifteen (15) months from the Effective Date.  In the event of contradiction with national policy, the national policy supersedes and controls.</w:t>
      </w:r>
    </w:p>
    <w:p w14:paraId="3FE16845" w14:textId="77777777" w:rsidR="00D37744" w:rsidRPr="00584B85" w:rsidRDefault="00D37744" w:rsidP="00584B85">
      <w:pPr>
        <w:tabs>
          <w:tab w:val="left" w:pos="360"/>
          <w:tab w:val="right" w:pos="9360"/>
        </w:tabs>
        <w:rPr>
          <w:color w:val="auto"/>
        </w:rPr>
      </w:pPr>
    </w:p>
    <w:p w14:paraId="55D8D8F4" w14:textId="77777777" w:rsidR="00584B85" w:rsidRPr="00584B85" w:rsidRDefault="00584B85" w:rsidP="00584B85">
      <w:pPr>
        <w:numPr>
          <w:ilvl w:val="0"/>
          <w:numId w:val="7"/>
        </w:numPr>
        <w:spacing w:after="720"/>
        <w:outlineLvl w:val="1"/>
        <w:rPr>
          <w:rFonts w:eastAsiaTheme="majorEastAsia" w:cstheme="majorBidi"/>
          <w:b/>
          <w:color w:val="auto"/>
          <w:szCs w:val="26"/>
        </w:rPr>
      </w:pPr>
      <w:r w:rsidRPr="00584B85">
        <w:rPr>
          <w:rFonts w:eastAsiaTheme="majorEastAsia" w:cstheme="majorBidi"/>
          <w:b/>
          <w:color w:val="auto"/>
          <w:szCs w:val="26"/>
          <w:lang w:bidi="en-US"/>
        </w:rPr>
        <w:t>SIGNATORY AUTHORITY</w:t>
      </w:r>
    </w:p>
    <w:p w14:paraId="7A73A626" w14:textId="6FB194ED" w:rsidR="00B52197" w:rsidRPr="009E5109" w:rsidRDefault="009E5109" w:rsidP="009E5109">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7B07FBA7" w14:textId="2607206C" w:rsidR="00584B85" w:rsidRPr="00584B85" w:rsidRDefault="00584B85" w:rsidP="00584B85">
      <w:pPr>
        <w:tabs>
          <w:tab w:val="right" w:pos="9360"/>
        </w:tabs>
        <w:spacing w:after="0"/>
        <w:rPr>
          <w:color w:val="auto"/>
        </w:rPr>
      </w:pPr>
      <w:r w:rsidRPr="00584B85">
        <w:rPr>
          <w:color w:val="auto"/>
        </w:rPr>
        <w:t>Gretchen Haas, MD</w:t>
      </w:r>
    </w:p>
    <w:p w14:paraId="7C4E2EE6" w14:textId="77777777" w:rsidR="00584B85" w:rsidRPr="00584B85" w:rsidRDefault="00584B85" w:rsidP="00584B85">
      <w:pPr>
        <w:tabs>
          <w:tab w:val="right" w:pos="9360"/>
        </w:tabs>
        <w:spacing w:after="0"/>
        <w:rPr>
          <w:color w:val="auto"/>
        </w:rPr>
      </w:pPr>
      <w:r w:rsidRPr="00584B85">
        <w:rPr>
          <w:color w:val="auto"/>
        </w:rPr>
        <w:t>Chair, Research and Development Committee</w:t>
      </w:r>
    </w:p>
    <w:p w14:paraId="5E6A29DC" w14:textId="2EF79C1C" w:rsidR="00584B85" w:rsidRPr="00584B85" w:rsidRDefault="00584B85" w:rsidP="00584B85">
      <w:pPr>
        <w:tabs>
          <w:tab w:val="right" w:pos="9360"/>
        </w:tabs>
        <w:rPr>
          <w:color w:val="auto"/>
        </w:rPr>
      </w:pPr>
      <w:r w:rsidRPr="00584B85">
        <w:rPr>
          <w:color w:val="auto"/>
        </w:rPr>
        <w:t>Date Approved:  Ma</w:t>
      </w:r>
      <w:r w:rsidR="001D0B18">
        <w:rPr>
          <w:color w:val="auto"/>
        </w:rPr>
        <w:t>y</w:t>
      </w:r>
      <w:r w:rsidRPr="00584B85">
        <w:rPr>
          <w:color w:val="auto"/>
        </w:rPr>
        <w:t xml:space="preserve"> </w:t>
      </w:r>
      <w:r w:rsidR="00E90751">
        <w:rPr>
          <w:color w:val="auto"/>
        </w:rPr>
        <w:t>19</w:t>
      </w:r>
      <w:r w:rsidRPr="00584B85">
        <w:rPr>
          <w:color w:val="auto"/>
        </w:rPr>
        <w:t>, 2020</w:t>
      </w:r>
    </w:p>
    <w:p w14:paraId="29D4C3F3" w14:textId="77777777" w:rsidR="00584B85" w:rsidRPr="00584B85" w:rsidRDefault="00584B85" w:rsidP="00584B85">
      <w:pPr>
        <w:tabs>
          <w:tab w:val="right" w:pos="9360"/>
        </w:tabs>
        <w:spacing w:after="0"/>
        <w:rPr>
          <w:color w:val="auto"/>
        </w:rPr>
      </w:pPr>
    </w:p>
    <w:p w14:paraId="626E11C0" w14:textId="77777777" w:rsidR="00584B85" w:rsidRPr="00584B85" w:rsidRDefault="00584B85" w:rsidP="00584B85">
      <w:pPr>
        <w:tabs>
          <w:tab w:val="right" w:pos="9360"/>
        </w:tabs>
        <w:spacing w:after="0"/>
        <w:rPr>
          <w:color w:val="auto"/>
        </w:rPr>
      </w:pPr>
    </w:p>
    <w:p w14:paraId="016D96B7" w14:textId="5A905FA1" w:rsidR="00B52197" w:rsidRPr="009E5109" w:rsidRDefault="009E5109" w:rsidP="009E5109">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33ABCFBD" w14:textId="549208EF" w:rsidR="00584B85" w:rsidRPr="00584B85" w:rsidRDefault="00584B85" w:rsidP="00584B85">
      <w:pPr>
        <w:tabs>
          <w:tab w:val="right" w:pos="9360"/>
        </w:tabs>
        <w:spacing w:after="0"/>
        <w:rPr>
          <w:color w:val="auto"/>
        </w:rPr>
      </w:pPr>
      <w:r w:rsidRPr="00584B85">
        <w:rPr>
          <w:color w:val="auto"/>
        </w:rPr>
        <w:t>Steven Graham, MD, PhD</w:t>
      </w:r>
    </w:p>
    <w:p w14:paraId="614D4918" w14:textId="77777777" w:rsidR="00584B85" w:rsidRPr="00584B85" w:rsidRDefault="00584B85" w:rsidP="00584B85">
      <w:pPr>
        <w:tabs>
          <w:tab w:val="right" w:pos="9360"/>
        </w:tabs>
        <w:spacing w:after="0"/>
        <w:rPr>
          <w:color w:val="auto"/>
        </w:rPr>
      </w:pPr>
      <w:r w:rsidRPr="00584B85">
        <w:rPr>
          <w:color w:val="auto"/>
        </w:rPr>
        <w:t>Associate Chief of Staff Research and Development Department</w:t>
      </w:r>
    </w:p>
    <w:p w14:paraId="6CFA09D6" w14:textId="0AB91930" w:rsidR="00584B85" w:rsidRPr="00584B85" w:rsidRDefault="00584B85" w:rsidP="00584B85">
      <w:pPr>
        <w:tabs>
          <w:tab w:val="right" w:pos="9360"/>
        </w:tabs>
        <w:rPr>
          <w:color w:val="auto"/>
        </w:rPr>
      </w:pPr>
      <w:r w:rsidRPr="00584B85">
        <w:rPr>
          <w:color w:val="auto"/>
        </w:rPr>
        <w:t>Date Approved:  Ma</w:t>
      </w:r>
      <w:r w:rsidR="001D0B18">
        <w:rPr>
          <w:color w:val="auto"/>
        </w:rPr>
        <w:t>y</w:t>
      </w:r>
      <w:r w:rsidRPr="00584B85">
        <w:rPr>
          <w:color w:val="auto"/>
        </w:rPr>
        <w:t xml:space="preserve"> </w:t>
      </w:r>
      <w:r w:rsidR="00E90751">
        <w:rPr>
          <w:color w:val="auto"/>
        </w:rPr>
        <w:t>19</w:t>
      </w:r>
      <w:r w:rsidRPr="00584B85">
        <w:rPr>
          <w:color w:val="auto"/>
        </w:rPr>
        <w:t>, 2020</w:t>
      </w:r>
    </w:p>
    <w:p w14:paraId="68074375" w14:textId="77777777" w:rsidR="009E5109" w:rsidRDefault="009E5109" w:rsidP="00584B85">
      <w:pPr>
        <w:rPr>
          <w:b/>
          <w:i/>
        </w:rPr>
      </w:pPr>
    </w:p>
    <w:p w14:paraId="0457D767" w14:textId="77777777" w:rsidR="009E5109" w:rsidRDefault="009E5109" w:rsidP="00584B85">
      <w:pPr>
        <w:rPr>
          <w:b/>
          <w:i/>
        </w:rPr>
      </w:pPr>
    </w:p>
    <w:p w14:paraId="4F585B11" w14:textId="79B3DDFB" w:rsidR="00584B85" w:rsidRPr="00584B85" w:rsidRDefault="00584B85" w:rsidP="00584B85">
      <w:pPr>
        <w:rPr>
          <w:i/>
        </w:rPr>
      </w:pPr>
      <w:r w:rsidRPr="00584B85">
        <w:rPr>
          <w:b/>
          <w:i/>
        </w:rPr>
        <w:t>NOTE:</w:t>
      </w:r>
      <w:r w:rsidRPr="00584B85">
        <w:rPr>
          <w:i/>
        </w:rPr>
        <w:t xml:space="preserve">  The signature remains valid until rescinded by an appropriate administrative action.</w:t>
      </w:r>
    </w:p>
    <w:p w14:paraId="441A8AD6" w14:textId="24EF5607" w:rsidR="00E208C7" w:rsidRPr="00D37744" w:rsidRDefault="00584B85" w:rsidP="00D37744">
      <w:pPr>
        <w:rPr>
          <w:b/>
          <w:color w:val="auto"/>
        </w:rPr>
      </w:pPr>
      <w:r w:rsidRPr="00584B85">
        <w:rPr>
          <w:b/>
          <w:color w:val="auto"/>
        </w:rPr>
        <w:t>DISTRIBUTION:</w:t>
      </w:r>
      <w:r w:rsidRPr="00584B85">
        <w:rPr>
          <w:color w:val="auto"/>
        </w:rPr>
        <w:t xml:space="preserve">  </w:t>
      </w:r>
      <w:bookmarkEnd w:id="1"/>
      <w:r w:rsidRPr="00584B85">
        <w:rPr>
          <w:color w:val="auto"/>
        </w:rPr>
        <w:t xml:space="preserve">Policy is available at:  </w:t>
      </w:r>
      <w:hyperlink r:id="rId14" w:history="1">
        <w:r w:rsidRPr="00584B85">
          <w:rPr>
            <w:color w:val="0563C1" w:themeColor="hyperlink"/>
            <w:u w:val="single"/>
          </w:rPr>
          <w:t>https://www.va.gov/pittsburgh-health-care/research/safety-security/</w:t>
        </w:r>
      </w:hyperlink>
      <w:r w:rsidRPr="00584B85">
        <w:rPr>
          <w:color w:val="auto"/>
        </w:rPr>
        <w:t xml:space="preserve"> </w:t>
      </w:r>
    </w:p>
    <w:sectPr w:rsidR="00E208C7" w:rsidRPr="00D37744" w:rsidSect="006E3AE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9F9E" w14:textId="77777777" w:rsidR="00EA7F6F" w:rsidRDefault="00EA7F6F" w:rsidP="008E6032">
      <w:pPr>
        <w:spacing w:after="0"/>
      </w:pPr>
      <w:r>
        <w:separator/>
      </w:r>
    </w:p>
  </w:endnote>
  <w:endnote w:type="continuationSeparator" w:id="0">
    <w:p w14:paraId="30219370" w14:textId="77777777" w:rsidR="00EA7F6F" w:rsidRDefault="00EA7F6F" w:rsidP="008E6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750"/>
      <w:docPartObj>
        <w:docPartGallery w:val="Page Numbers (Bottom of Page)"/>
        <w:docPartUnique/>
      </w:docPartObj>
    </w:sdtPr>
    <w:sdtEndPr>
      <w:rPr>
        <w:b/>
        <w:noProof/>
      </w:rPr>
    </w:sdtEndPr>
    <w:sdtContent>
      <w:p w14:paraId="1A335E4D"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082883"/>
      <w:docPartObj>
        <w:docPartGallery w:val="Page Numbers (Bottom of Page)"/>
        <w:docPartUnique/>
      </w:docPartObj>
    </w:sdtPr>
    <w:sdtEndPr>
      <w:rPr>
        <w:b/>
        <w:noProof/>
      </w:rPr>
    </w:sdtEndPr>
    <w:sdtContent>
      <w:p w14:paraId="2BCF0ECC"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A849" w14:textId="77777777" w:rsidR="00EA7F6F" w:rsidRDefault="00EA7F6F" w:rsidP="008E6032">
      <w:pPr>
        <w:spacing w:after="0"/>
      </w:pPr>
      <w:r>
        <w:separator/>
      </w:r>
    </w:p>
  </w:footnote>
  <w:footnote w:type="continuationSeparator" w:id="0">
    <w:p w14:paraId="52727418" w14:textId="77777777" w:rsidR="00EA7F6F" w:rsidRDefault="00EA7F6F" w:rsidP="008E6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2FDB0" w14:textId="136EF396" w:rsidR="00EA7F6F" w:rsidRPr="008E6032" w:rsidRDefault="001D0B18" w:rsidP="008E6032">
    <w:pPr>
      <w:tabs>
        <w:tab w:val="right" w:pos="9360"/>
      </w:tabs>
      <w:rPr>
        <w:rFonts w:eastAsia="Calibri" w:cs="Times New Roman"/>
        <w:b/>
      </w:rPr>
    </w:pPr>
    <w:r>
      <w:rPr>
        <w:rFonts w:eastAsia="Calibri" w:cs="Times New Roman"/>
        <w:b/>
      </w:rPr>
      <w:t xml:space="preserve">May </w:t>
    </w:r>
    <w:r w:rsidR="00E90751">
      <w:rPr>
        <w:rFonts w:eastAsia="Calibri" w:cs="Times New Roman"/>
        <w:b/>
      </w:rPr>
      <w:t>19</w:t>
    </w:r>
    <w:r w:rsidR="00EA7F6F">
      <w:rPr>
        <w:rFonts w:eastAsia="Calibri" w:cs="Times New Roman"/>
        <w:b/>
      </w:rPr>
      <w:t xml:space="preserve">, </w:t>
    </w:r>
    <w:r>
      <w:rPr>
        <w:rFonts w:eastAsia="Calibri" w:cs="Times New Roman"/>
        <w:b/>
      </w:rPr>
      <w:t>2020</w:t>
    </w:r>
    <w:r w:rsidR="00EA7F6F">
      <w:rPr>
        <w:rFonts w:eastAsia="Calibri" w:cs="Times New Roman"/>
        <w:b/>
      </w:rPr>
      <w:tab/>
    </w:r>
    <w:r>
      <w:rPr>
        <w:rFonts w:eastAsia="Calibri" w:cs="Times New Roman"/>
        <w:b/>
      </w:rPr>
      <w:t>Policy #S-004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98"/>
    <w:multiLevelType w:val="multilevel"/>
    <w:tmpl w:val="4266C2AC"/>
    <w:lvl w:ilvl="0">
      <w:start w:val="1"/>
      <w:numFmt w:val="decimal"/>
      <w:pStyle w:val="Style7"/>
      <w:suff w:val="space"/>
      <w:lvlText w:val="%1."/>
      <w:lvlJc w:val="left"/>
      <w:pPr>
        <w:ind w:left="0" w:firstLine="0"/>
      </w:pPr>
      <w:rPr>
        <w:rFonts w:ascii="Arial" w:hAnsi="Arial" w:hint="default"/>
        <w:b/>
        <w:i w:val="0"/>
        <w:sz w:val="24"/>
      </w:rPr>
    </w:lvl>
    <w:lvl w:ilvl="1">
      <w:start w:val="1"/>
      <w:numFmt w:val="lowerLetter"/>
      <w:pStyle w:val="Style1"/>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 w15:restartNumberingAfterBreak="0">
    <w:nsid w:val="0762607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2" w15:restartNumberingAfterBreak="0">
    <w:nsid w:val="0879474E"/>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3" w15:restartNumberingAfterBreak="0">
    <w:nsid w:val="08F977A2"/>
    <w:multiLevelType w:val="multilevel"/>
    <w:tmpl w:val="745441EA"/>
    <w:lvl w:ilvl="0">
      <w:start w:val="1"/>
      <w:numFmt w:val="decimal"/>
      <w:suff w:val="space"/>
      <w:lvlText w:val="%1."/>
      <w:lvlJc w:val="left"/>
      <w:pPr>
        <w:ind w:left="0" w:firstLine="0"/>
      </w:pPr>
      <w:rPr>
        <w:rFonts w:ascii="Arial" w:hAnsi="Arial" w:hint="default"/>
        <w:b/>
        <w:i w:val="0"/>
        <w:sz w:val="24"/>
      </w:rPr>
    </w:lvl>
    <w:lvl w:ilvl="1">
      <w:start w:val="1"/>
      <w:numFmt w:val="lowerLetter"/>
      <w:pStyle w:val="Style2"/>
      <w:suff w:val="space"/>
      <w:lvlText w:val="%2."/>
      <w:lvlJc w:val="left"/>
      <w:pPr>
        <w:ind w:left="0" w:firstLine="360"/>
      </w:pPr>
      <w:rPr>
        <w:rFonts w:ascii="Arial" w:hAnsi="Arial" w:hint="default"/>
        <w:sz w:val="24"/>
      </w:rPr>
    </w:lvl>
    <w:lvl w:ilvl="2">
      <w:start w:val="1"/>
      <w:numFmt w:val="decimal"/>
      <w:pStyle w:val="Style4"/>
      <w:suff w:val="space"/>
      <w:lvlText w:val="(%3)"/>
      <w:lvlJc w:val="left"/>
      <w:pPr>
        <w:ind w:left="0" w:firstLine="360"/>
      </w:pPr>
      <w:rPr>
        <w:rFonts w:ascii="Arial" w:hAnsi="Arial" w:hint="default"/>
        <w:b w:val="0"/>
        <w:bCs w:val="0"/>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4" w15:restartNumberingAfterBreak="0">
    <w:nsid w:val="0B752A23"/>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5" w15:restartNumberingAfterBreak="0">
    <w:nsid w:val="0E4B7F0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6" w15:restartNumberingAfterBreak="0">
    <w:nsid w:val="17D03F8A"/>
    <w:multiLevelType w:val="hybridMultilevel"/>
    <w:tmpl w:val="B600C590"/>
    <w:lvl w:ilvl="0" w:tplc="D5F255DE">
      <w:start w:val="1"/>
      <w:numFmt w:val="bullet"/>
      <w:pStyle w:val="Style5"/>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5B3732B"/>
    <w:multiLevelType w:val="multilevel"/>
    <w:tmpl w:val="806632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92B12E2"/>
    <w:multiLevelType w:val="hybridMultilevel"/>
    <w:tmpl w:val="1408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55279"/>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10" w15:restartNumberingAfterBreak="0">
    <w:nsid w:val="34DF1A52"/>
    <w:multiLevelType w:val="hybridMultilevel"/>
    <w:tmpl w:val="2602A62A"/>
    <w:lvl w:ilvl="0" w:tplc="1CAC7B30">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F3284"/>
    <w:multiLevelType w:val="hybridMultilevel"/>
    <w:tmpl w:val="E34C9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F528A"/>
    <w:multiLevelType w:val="hybridMultilevel"/>
    <w:tmpl w:val="800C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10CFE"/>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4" w15:restartNumberingAfterBreak="0">
    <w:nsid w:val="4F750D23"/>
    <w:multiLevelType w:val="hybridMultilevel"/>
    <w:tmpl w:val="798A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157712"/>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16" w15:restartNumberingAfterBreak="0">
    <w:nsid w:val="77195F26"/>
    <w:multiLevelType w:val="hybridMultilevel"/>
    <w:tmpl w:val="23E0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E78FB"/>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num w:numId="1">
    <w:abstractNumId w:val="2"/>
  </w:num>
  <w:num w:numId="2">
    <w:abstractNumId w:val="9"/>
  </w:num>
  <w:num w:numId="3">
    <w:abstractNumId w:val="15"/>
  </w:num>
  <w:num w:numId="4">
    <w:abstractNumId w:val="1"/>
  </w:num>
  <w:num w:numId="5">
    <w:abstractNumId w:val="5"/>
  </w:num>
  <w:num w:numId="6">
    <w:abstractNumId w:val="17"/>
  </w:num>
  <w:num w:numId="7">
    <w:abstractNumId w:val="0"/>
  </w:num>
  <w:num w:numId="8">
    <w:abstractNumId w:val="3"/>
  </w:num>
  <w:num w:numId="9">
    <w:abstractNumId w:val="4"/>
  </w:num>
  <w:num w:numId="10">
    <w:abstractNumId w:val="13"/>
  </w:num>
  <w:num w:numId="11">
    <w:abstractNumId w:val="16"/>
  </w:num>
  <w:num w:numId="12">
    <w:abstractNumId w:val="12"/>
  </w:num>
  <w:num w:numId="13">
    <w:abstractNumId w:val="14"/>
  </w:num>
  <w:num w:numId="14">
    <w:abstractNumId w:val="8"/>
  </w:num>
  <w:num w:numId="15">
    <w:abstractNumId w:val="10"/>
  </w:num>
  <w:num w:numId="16">
    <w:abstractNumId w:val="6"/>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36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C7"/>
    <w:rsid w:val="000136CC"/>
    <w:rsid w:val="000376FB"/>
    <w:rsid w:val="00061DAD"/>
    <w:rsid w:val="00083218"/>
    <w:rsid w:val="000B0F6E"/>
    <w:rsid w:val="000B7254"/>
    <w:rsid w:val="000E3ACE"/>
    <w:rsid w:val="000E5C86"/>
    <w:rsid w:val="00111423"/>
    <w:rsid w:val="0019437D"/>
    <w:rsid w:val="001D0B18"/>
    <w:rsid w:val="001F33E5"/>
    <w:rsid w:val="00223C07"/>
    <w:rsid w:val="00277336"/>
    <w:rsid w:val="002A2679"/>
    <w:rsid w:val="00362D48"/>
    <w:rsid w:val="00393BA8"/>
    <w:rsid w:val="003A5C93"/>
    <w:rsid w:val="003B0630"/>
    <w:rsid w:val="003D48D3"/>
    <w:rsid w:val="004612B0"/>
    <w:rsid w:val="00484A31"/>
    <w:rsid w:val="00485B16"/>
    <w:rsid w:val="004B67E6"/>
    <w:rsid w:val="004E4D98"/>
    <w:rsid w:val="004F3C6A"/>
    <w:rsid w:val="005237FE"/>
    <w:rsid w:val="00524316"/>
    <w:rsid w:val="00531C2F"/>
    <w:rsid w:val="00565184"/>
    <w:rsid w:val="00581670"/>
    <w:rsid w:val="00584B85"/>
    <w:rsid w:val="00613698"/>
    <w:rsid w:val="00651053"/>
    <w:rsid w:val="006741AD"/>
    <w:rsid w:val="00693F07"/>
    <w:rsid w:val="006D0272"/>
    <w:rsid w:val="006E02DA"/>
    <w:rsid w:val="006E0659"/>
    <w:rsid w:val="006E3AE5"/>
    <w:rsid w:val="006F5908"/>
    <w:rsid w:val="00733103"/>
    <w:rsid w:val="007449B9"/>
    <w:rsid w:val="007452C7"/>
    <w:rsid w:val="00752455"/>
    <w:rsid w:val="00761E7F"/>
    <w:rsid w:val="007A7E49"/>
    <w:rsid w:val="007C34B0"/>
    <w:rsid w:val="007D2DE1"/>
    <w:rsid w:val="007D4646"/>
    <w:rsid w:val="007F1EE4"/>
    <w:rsid w:val="00817352"/>
    <w:rsid w:val="00843FDB"/>
    <w:rsid w:val="00847E63"/>
    <w:rsid w:val="008645D5"/>
    <w:rsid w:val="0088427C"/>
    <w:rsid w:val="008A123A"/>
    <w:rsid w:val="008A67B7"/>
    <w:rsid w:val="008E6032"/>
    <w:rsid w:val="00900AE8"/>
    <w:rsid w:val="00905BA2"/>
    <w:rsid w:val="009320AF"/>
    <w:rsid w:val="00944D83"/>
    <w:rsid w:val="00966820"/>
    <w:rsid w:val="00977E67"/>
    <w:rsid w:val="00987334"/>
    <w:rsid w:val="009A348D"/>
    <w:rsid w:val="009B05A0"/>
    <w:rsid w:val="009B0B59"/>
    <w:rsid w:val="009B5FFF"/>
    <w:rsid w:val="009E5109"/>
    <w:rsid w:val="009F4CF5"/>
    <w:rsid w:val="00A165FB"/>
    <w:rsid w:val="00A20A85"/>
    <w:rsid w:val="00A3388D"/>
    <w:rsid w:val="00A62ECA"/>
    <w:rsid w:val="00A7184C"/>
    <w:rsid w:val="00A7498F"/>
    <w:rsid w:val="00A869F8"/>
    <w:rsid w:val="00A9706D"/>
    <w:rsid w:val="00AA34BD"/>
    <w:rsid w:val="00AC42A7"/>
    <w:rsid w:val="00AE36B0"/>
    <w:rsid w:val="00AF073C"/>
    <w:rsid w:val="00AF225B"/>
    <w:rsid w:val="00B221B5"/>
    <w:rsid w:val="00B52197"/>
    <w:rsid w:val="00B52489"/>
    <w:rsid w:val="00B60A04"/>
    <w:rsid w:val="00B730A3"/>
    <w:rsid w:val="00B869DC"/>
    <w:rsid w:val="00BA3B7C"/>
    <w:rsid w:val="00BD3783"/>
    <w:rsid w:val="00BD54C9"/>
    <w:rsid w:val="00BE6294"/>
    <w:rsid w:val="00C34126"/>
    <w:rsid w:val="00C57796"/>
    <w:rsid w:val="00C922E2"/>
    <w:rsid w:val="00CC1363"/>
    <w:rsid w:val="00CD3D24"/>
    <w:rsid w:val="00CF7982"/>
    <w:rsid w:val="00D101FD"/>
    <w:rsid w:val="00D112A0"/>
    <w:rsid w:val="00D129D4"/>
    <w:rsid w:val="00D37744"/>
    <w:rsid w:val="00D65825"/>
    <w:rsid w:val="00DA4027"/>
    <w:rsid w:val="00DB5CAE"/>
    <w:rsid w:val="00DD70A0"/>
    <w:rsid w:val="00DE4835"/>
    <w:rsid w:val="00E01109"/>
    <w:rsid w:val="00E208C7"/>
    <w:rsid w:val="00E22835"/>
    <w:rsid w:val="00E4618D"/>
    <w:rsid w:val="00E90751"/>
    <w:rsid w:val="00EA389B"/>
    <w:rsid w:val="00EA7F6F"/>
    <w:rsid w:val="00ED2A23"/>
    <w:rsid w:val="00EE643B"/>
    <w:rsid w:val="00F467F2"/>
    <w:rsid w:val="00F51222"/>
    <w:rsid w:val="00F734E2"/>
    <w:rsid w:val="00FC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88691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8C7"/>
    <w:pPr>
      <w:autoSpaceDE w:val="0"/>
      <w:autoSpaceDN w:val="0"/>
      <w:adjustRightInd w:val="0"/>
      <w:spacing w:after="240" w:line="240" w:lineRule="auto"/>
    </w:pPr>
    <w:rPr>
      <w:rFonts w:ascii="Arial" w:eastAsia="Times New Roman" w:hAnsi="Arial" w:cs="Arial"/>
      <w:color w:val="000000"/>
      <w:sz w:val="24"/>
      <w:szCs w:val="24"/>
    </w:rPr>
  </w:style>
  <w:style w:type="paragraph" w:styleId="Heading1">
    <w:name w:val="heading 1"/>
    <w:basedOn w:val="Normal"/>
    <w:link w:val="Heading1Char"/>
    <w:qFormat/>
    <w:rsid w:val="0088427C"/>
    <w:pPr>
      <w:widowControl w:val="0"/>
      <w:outlineLvl w:val="0"/>
    </w:pPr>
    <w:rPr>
      <w:rFonts w:cs="Times New Roman"/>
      <w:b/>
      <w:bCs/>
      <w:lang w:bidi="en-US"/>
    </w:rPr>
  </w:style>
  <w:style w:type="paragraph" w:styleId="Heading2">
    <w:name w:val="heading 2"/>
    <w:basedOn w:val="Normal"/>
    <w:next w:val="Normal"/>
    <w:link w:val="Heading2Char"/>
    <w:uiPriority w:val="9"/>
    <w:semiHidden/>
    <w:unhideWhenUsed/>
    <w:qFormat/>
    <w:rsid w:val="0088427C"/>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8427C"/>
    <w:rPr>
      <w:rFonts w:ascii="Arial" w:eastAsiaTheme="majorEastAsia" w:hAnsi="Arial" w:cstheme="majorBidi"/>
      <w:b/>
      <w:sz w:val="24"/>
      <w:szCs w:val="26"/>
    </w:rPr>
  </w:style>
  <w:style w:type="character" w:customStyle="1" w:styleId="Heading1Char">
    <w:name w:val="Heading 1 Char"/>
    <w:basedOn w:val="DefaultParagraphFont"/>
    <w:link w:val="Heading1"/>
    <w:rsid w:val="0088427C"/>
    <w:rPr>
      <w:rFonts w:ascii="Arial" w:eastAsia="Times New Roman" w:hAnsi="Arial" w:cs="Times New Roman"/>
      <w:b/>
      <w:bCs/>
      <w:sz w:val="24"/>
      <w:szCs w:val="24"/>
      <w:lang w:bidi="en-US"/>
    </w:rPr>
  </w:style>
  <w:style w:type="paragraph" w:styleId="ListParagraph">
    <w:name w:val="List Paragraph"/>
    <w:basedOn w:val="Normal"/>
    <w:link w:val="ListParagraphChar"/>
    <w:uiPriority w:val="34"/>
    <w:qFormat/>
    <w:rsid w:val="0088427C"/>
    <w:pPr>
      <w:tabs>
        <w:tab w:val="left" w:pos="360"/>
        <w:tab w:val="right" w:pos="9360"/>
      </w:tabs>
    </w:pPr>
  </w:style>
  <w:style w:type="table" w:customStyle="1" w:styleId="TableGrid1">
    <w:name w:val="Table Grid1"/>
    <w:basedOn w:val="TableNormal"/>
    <w:next w:val="TableGrid"/>
    <w:uiPriority w:val="59"/>
    <w:rsid w:val="00E208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032"/>
    <w:pPr>
      <w:tabs>
        <w:tab w:val="center" w:pos="4680"/>
        <w:tab w:val="right" w:pos="9360"/>
      </w:tabs>
      <w:spacing w:after="0"/>
    </w:pPr>
  </w:style>
  <w:style w:type="character" w:customStyle="1" w:styleId="HeaderChar">
    <w:name w:val="Header Char"/>
    <w:basedOn w:val="DefaultParagraphFont"/>
    <w:link w:val="Header"/>
    <w:uiPriority w:val="99"/>
    <w:rsid w:val="008E6032"/>
    <w:rPr>
      <w:rFonts w:ascii="Arial" w:eastAsia="Times New Roman" w:hAnsi="Arial" w:cs="Arial"/>
      <w:color w:val="000000"/>
      <w:sz w:val="24"/>
      <w:szCs w:val="24"/>
    </w:rPr>
  </w:style>
  <w:style w:type="paragraph" w:styleId="Footer">
    <w:name w:val="footer"/>
    <w:basedOn w:val="Normal"/>
    <w:link w:val="FooterChar"/>
    <w:uiPriority w:val="99"/>
    <w:unhideWhenUsed/>
    <w:rsid w:val="008E6032"/>
    <w:pPr>
      <w:tabs>
        <w:tab w:val="center" w:pos="4680"/>
        <w:tab w:val="right" w:pos="9360"/>
      </w:tabs>
      <w:spacing w:after="0"/>
    </w:pPr>
  </w:style>
  <w:style w:type="character" w:customStyle="1" w:styleId="FooterChar">
    <w:name w:val="Footer Char"/>
    <w:basedOn w:val="DefaultParagraphFont"/>
    <w:link w:val="Footer"/>
    <w:uiPriority w:val="99"/>
    <w:rsid w:val="008E6032"/>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7184C"/>
    <w:rPr>
      <w:sz w:val="16"/>
      <w:szCs w:val="16"/>
    </w:rPr>
  </w:style>
  <w:style w:type="paragraph" w:styleId="CommentText">
    <w:name w:val="annotation text"/>
    <w:basedOn w:val="Normal"/>
    <w:link w:val="CommentTextChar"/>
    <w:uiPriority w:val="99"/>
    <w:semiHidden/>
    <w:unhideWhenUsed/>
    <w:rsid w:val="00A7184C"/>
    <w:rPr>
      <w:sz w:val="20"/>
      <w:szCs w:val="20"/>
    </w:rPr>
  </w:style>
  <w:style w:type="character" w:customStyle="1" w:styleId="CommentTextChar">
    <w:name w:val="Comment Text Char"/>
    <w:basedOn w:val="DefaultParagraphFont"/>
    <w:link w:val="CommentText"/>
    <w:uiPriority w:val="99"/>
    <w:semiHidden/>
    <w:rsid w:val="00A7184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7184C"/>
    <w:rPr>
      <w:b/>
      <w:bCs/>
    </w:rPr>
  </w:style>
  <w:style w:type="character" w:customStyle="1" w:styleId="CommentSubjectChar">
    <w:name w:val="Comment Subject Char"/>
    <w:basedOn w:val="CommentTextChar"/>
    <w:link w:val="CommentSubject"/>
    <w:uiPriority w:val="99"/>
    <w:semiHidden/>
    <w:rsid w:val="00A7184C"/>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A718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84C"/>
    <w:rPr>
      <w:rFonts w:ascii="Segoe UI" w:eastAsia="Times New Roman" w:hAnsi="Segoe UI" w:cs="Segoe UI"/>
      <w:color w:val="000000"/>
      <w:sz w:val="18"/>
      <w:szCs w:val="18"/>
    </w:rPr>
  </w:style>
  <w:style w:type="paragraph" w:styleId="NoSpacing">
    <w:name w:val="No Spacing"/>
    <w:link w:val="NoSpacingChar"/>
    <w:uiPriority w:val="1"/>
    <w:qFormat/>
    <w:rsid w:val="00565184"/>
    <w:pPr>
      <w:spacing w:after="0" w:line="240" w:lineRule="auto"/>
    </w:pPr>
    <w:rPr>
      <w:rFonts w:ascii="Calibri" w:eastAsia="Calibri" w:hAnsi="Calibri" w:cs="Times New Roman"/>
    </w:rPr>
  </w:style>
  <w:style w:type="paragraph" w:customStyle="1" w:styleId="Style1">
    <w:name w:val="Style1"/>
    <w:basedOn w:val="ListParagraph"/>
    <w:link w:val="Style1Char"/>
    <w:qFormat/>
    <w:rsid w:val="006F5908"/>
    <w:pPr>
      <w:numPr>
        <w:ilvl w:val="1"/>
        <w:numId w:val="7"/>
      </w:numPr>
      <w:ind w:left="360" w:firstLine="0"/>
    </w:pPr>
    <w:rPr>
      <w:color w:val="auto"/>
    </w:rPr>
  </w:style>
  <w:style w:type="paragraph" w:customStyle="1" w:styleId="Style2">
    <w:name w:val="Style2"/>
    <w:basedOn w:val="Normal"/>
    <w:link w:val="Style2Char"/>
    <w:qFormat/>
    <w:rsid w:val="006F5908"/>
    <w:pPr>
      <w:numPr>
        <w:ilvl w:val="1"/>
        <w:numId w:val="8"/>
      </w:numPr>
    </w:pPr>
    <w:rPr>
      <w:b/>
      <w:color w:val="auto"/>
      <w:u w:val="single"/>
    </w:rPr>
  </w:style>
  <w:style w:type="character" w:customStyle="1" w:styleId="ListParagraphChar">
    <w:name w:val="List Paragraph Char"/>
    <w:basedOn w:val="DefaultParagraphFont"/>
    <w:link w:val="ListParagraph"/>
    <w:uiPriority w:val="34"/>
    <w:rsid w:val="006F5908"/>
    <w:rPr>
      <w:rFonts w:ascii="Arial" w:eastAsia="Times New Roman" w:hAnsi="Arial" w:cs="Arial"/>
      <w:color w:val="000000"/>
      <w:sz w:val="24"/>
      <w:szCs w:val="24"/>
    </w:rPr>
  </w:style>
  <w:style w:type="character" w:customStyle="1" w:styleId="Style1Char">
    <w:name w:val="Style1 Char"/>
    <w:basedOn w:val="ListParagraphChar"/>
    <w:link w:val="Style1"/>
    <w:rsid w:val="006F5908"/>
    <w:rPr>
      <w:rFonts w:ascii="Arial" w:eastAsia="Times New Roman" w:hAnsi="Arial" w:cs="Arial"/>
      <w:color w:val="000000"/>
      <w:sz w:val="24"/>
      <w:szCs w:val="24"/>
    </w:rPr>
  </w:style>
  <w:style w:type="paragraph" w:customStyle="1" w:styleId="Style3">
    <w:name w:val="Style3"/>
    <w:basedOn w:val="NoSpacing"/>
    <w:link w:val="Style3Char"/>
    <w:qFormat/>
    <w:rsid w:val="006F5908"/>
    <w:pPr>
      <w:numPr>
        <w:numId w:val="15"/>
      </w:numPr>
      <w:ind w:left="1080"/>
    </w:pPr>
    <w:rPr>
      <w:rFonts w:ascii="Arial" w:hAnsi="Arial" w:cs="Arial"/>
      <w:sz w:val="24"/>
      <w:szCs w:val="24"/>
    </w:rPr>
  </w:style>
  <w:style w:type="character" w:customStyle="1" w:styleId="Style2Char">
    <w:name w:val="Style2 Char"/>
    <w:basedOn w:val="DefaultParagraphFont"/>
    <w:link w:val="Style2"/>
    <w:rsid w:val="006F5908"/>
    <w:rPr>
      <w:rFonts w:ascii="Arial" w:eastAsia="Times New Roman" w:hAnsi="Arial" w:cs="Arial"/>
      <w:b/>
      <w:sz w:val="24"/>
      <w:szCs w:val="24"/>
      <w:u w:val="single"/>
    </w:rPr>
  </w:style>
  <w:style w:type="paragraph" w:customStyle="1" w:styleId="Style4">
    <w:name w:val="Style4"/>
    <w:basedOn w:val="ListParagraph"/>
    <w:link w:val="Style4Char"/>
    <w:qFormat/>
    <w:rsid w:val="006F5908"/>
    <w:pPr>
      <w:numPr>
        <w:ilvl w:val="2"/>
        <w:numId w:val="8"/>
      </w:numPr>
    </w:pPr>
    <w:rPr>
      <w:b/>
      <w:bCs/>
      <w:color w:val="auto"/>
    </w:rPr>
  </w:style>
  <w:style w:type="character" w:customStyle="1" w:styleId="NoSpacingChar">
    <w:name w:val="No Spacing Char"/>
    <w:basedOn w:val="DefaultParagraphFont"/>
    <w:link w:val="NoSpacing"/>
    <w:uiPriority w:val="1"/>
    <w:rsid w:val="006F5908"/>
    <w:rPr>
      <w:rFonts w:ascii="Calibri" w:eastAsia="Calibri" w:hAnsi="Calibri" w:cs="Times New Roman"/>
    </w:rPr>
  </w:style>
  <w:style w:type="character" w:customStyle="1" w:styleId="Style3Char">
    <w:name w:val="Style3 Char"/>
    <w:basedOn w:val="NoSpacingChar"/>
    <w:link w:val="Style3"/>
    <w:rsid w:val="006F5908"/>
    <w:rPr>
      <w:rFonts w:ascii="Arial" w:eastAsia="Calibri" w:hAnsi="Arial" w:cs="Arial"/>
      <w:sz w:val="24"/>
      <w:szCs w:val="24"/>
    </w:rPr>
  </w:style>
  <w:style w:type="paragraph" w:customStyle="1" w:styleId="Style5">
    <w:name w:val="Style5"/>
    <w:basedOn w:val="ListParagraph"/>
    <w:link w:val="Style5Char"/>
    <w:qFormat/>
    <w:rsid w:val="006F5908"/>
    <w:pPr>
      <w:numPr>
        <w:numId w:val="16"/>
      </w:numPr>
      <w:ind w:left="1080"/>
    </w:pPr>
  </w:style>
  <w:style w:type="character" w:customStyle="1" w:styleId="Style4Char">
    <w:name w:val="Style4 Char"/>
    <w:basedOn w:val="ListParagraphChar"/>
    <w:link w:val="Style4"/>
    <w:rsid w:val="006F5908"/>
    <w:rPr>
      <w:rFonts w:ascii="Arial" w:eastAsia="Times New Roman" w:hAnsi="Arial" w:cs="Arial"/>
      <w:b/>
      <w:bCs/>
      <w:color w:val="000000"/>
      <w:sz w:val="24"/>
      <w:szCs w:val="24"/>
    </w:rPr>
  </w:style>
  <w:style w:type="paragraph" w:customStyle="1" w:styleId="Style6">
    <w:name w:val="Style6"/>
    <w:basedOn w:val="Normal"/>
    <w:link w:val="Style6Char"/>
    <w:qFormat/>
    <w:rsid w:val="006F5908"/>
    <w:pPr>
      <w:ind w:left="360"/>
    </w:pPr>
    <w:rPr>
      <w:color w:val="auto"/>
    </w:rPr>
  </w:style>
  <w:style w:type="character" w:customStyle="1" w:styleId="Style5Char">
    <w:name w:val="Style5 Char"/>
    <w:basedOn w:val="ListParagraphChar"/>
    <w:link w:val="Style5"/>
    <w:rsid w:val="006F5908"/>
    <w:rPr>
      <w:rFonts w:ascii="Arial" w:eastAsia="Times New Roman" w:hAnsi="Arial" w:cs="Arial"/>
      <w:color w:val="000000"/>
      <w:sz w:val="24"/>
      <w:szCs w:val="24"/>
    </w:rPr>
  </w:style>
  <w:style w:type="paragraph" w:customStyle="1" w:styleId="Style7">
    <w:name w:val="Style7"/>
    <w:basedOn w:val="Heading2"/>
    <w:link w:val="Style7Char"/>
    <w:qFormat/>
    <w:rsid w:val="006F5908"/>
    <w:pPr>
      <w:keepNext w:val="0"/>
      <w:keepLines w:val="0"/>
      <w:numPr>
        <w:numId w:val="7"/>
      </w:numPr>
    </w:pPr>
    <w:rPr>
      <w:color w:val="auto"/>
    </w:rPr>
  </w:style>
  <w:style w:type="character" w:customStyle="1" w:styleId="Style6Char">
    <w:name w:val="Style6 Char"/>
    <w:basedOn w:val="DefaultParagraphFont"/>
    <w:link w:val="Style6"/>
    <w:rsid w:val="006F5908"/>
    <w:rPr>
      <w:rFonts w:ascii="Arial" w:eastAsia="Times New Roman" w:hAnsi="Arial" w:cs="Arial"/>
      <w:sz w:val="24"/>
      <w:szCs w:val="24"/>
    </w:rPr>
  </w:style>
  <w:style w:type="character" w:customStyle="1" w:styleId="Style7Char">
    <w:name w:val="Style7 Char"/>
    <w:basedOn w:val="Heading2Char"/>
    <w:link w:val="Style7"/>
    <w:rsid w:val="006F5908"/>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va.gov/resources/policies/handbooks.cf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a.gov/pittsburgh-health-care/research/safety-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C457F1EEE92041BCCAF23F19A110B2" ma:contentTypeVersion="6" ma:contentTypeDescription="Create a new document." ma:contentTypeScope="" ma:versionID="98c580be3e55fcb6678b3bc9a781b727">
  <xsd:schema xmlns:xsd="http://www.w3.org/2001/XMLSchema" xmlns:xs="http://www.w3.org/2001/XMLSchema" xmlns:p="http://schemas.microsoft.com/office/2006/metadata/properties" xmlns:ns2="a889f67d-502c-403d-82cc-dfa990fb0408" xmlns:ns3="2a8463e9-0073-40e0-b4fc-49b07994b09f" targetNamespace="http://schemas.microsoft.com/office/2006/metadata/properties" ma:root="true" ma:fieldsID="c5ae27a3dc0ccd370d136fd79151925d" ns2:_="" ns3:_="">
    <xsd:import namespace="a889f67d-502c-403d-82cc-dfa990fb0408"/>
    <xsd:import namespace="2a8463e9-0073-40e0-b4fc-49b07994b0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9f67d-502c-403d-82cc-dfa990fb0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8463e9-0073-40e0-b4fc-49b07994b0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a8463e9-0073-40e0-b4fc-49b07994b09f">
      <UserInfo>
        <DisplayName>Rich, Sally</DisplayName>
        <AccountId>7989</AccountId>
        <AccountType/>
      </UserInfo>
      <UserInfo>
        <DisplayName>Wingster, Rebecca J.</DisplayName>
        <AccountId>7993</AccountId>
        <AccountType/>
      </UserInfo>
      <UserInfo>
        <DisplayName>Hayden, Lisa M.</DisplayName>
        <AccountId>7994</AccountId>
        <AccountType/>
      </UserInfo>
      <UserInfo>
        <DisplayName>Pegues, Toni A</DisplayName>
        <AccountId>7991</AccountId>
        <AccountType/>
      </UserInfo>
      <UserInfo>
        <DisplayName>Schellinger, Nancy M.</DisplayName>
        <AccountId>4092</AccountId>
        <AccountType/>
      </UserInfo>
      <UserInfo>
        <DisplayName>Marcinko, Jessica</DisplayName>
        <AccountId>8241</AccountId>
        <AccountType/>
      </UserInfo>
      <UserInfo>
        <DisplayName>England, Jeannette</DisplayName>
        <AccountId>7490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8328C-691A-47FD-8E51-0A1B494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9f67d-502c-403d-82cc-dfa990fb0408"/>
    <ds:schemaRef ds:uri="2a8463e9-0073-40e0-b4fc-49b07994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F8AB18-4000-4DA0-A3F0-E62F9083F747}">
  <ds:schemaRefs>
    <ds:schemaRef ds:uri="http://purl.org/dc/elements/1.1/"/>
    <ds:schemaRef ds:uri="http://schemas.microsoft.com/office/2006/metadata/properties"/>
    <ds:schemaRef ds:uri="2a8463e9-0073-40e0-b4fc-49b07994b09f"/>
    <ds:schemaRef ds:uri="http://purl.org/dc/terms/"/>
    <ds:schemaRef ds:uri="http://schemas.openxmlformats.org/package/2006/metadata/core-properties"/>
    <ds:schemaRef ds:uri="http://schemas.microsoft.com/office/2006/documentManagement/types"/>
    <ds:schemaRef ds:uri="a889f67d-502c-403d-82cc-dfa990fb0408"/>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6C48A3D-6F49-4C41-8BA7-B3C66C3C2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2020-05-29T16:15:00Z</dcterms:created>
  <dcterms:modified xsi:type="dcterms:W3CDTF">2020-09-17T17:46:00Z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0x0101002DC457F1EEE92041BCCAF23F19A110B2</vt:lpwstr>
  </property>
  <property fmtid="{D5CDD505-2E9C-101B-9397-08002B2CF9AE}" pid="3" name="Order">
    <vt:r8>500</vt:r8>
  </property>
  <property fmtid="{D5CDD505-2E9C-101B-9397-08002B2CF9AE}" pid="4" name="_MarkAsFinal">
    <vt:bool>true</vt:bool>
  </property>
</Properties>
</file>