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5865" w14:textId="77777777" w:rsidR="00813739" w:rsidRPr="00813739" w:rsidRDefault="00813739" w:rsidP="007264F6">
      <w:pPr>
        <w:keepNext/>
        <w:widowControl w:val="0"/>
        <w:overflowPunct w:val="0"/>
        <w:autoSpaceDE w:val="0"/>
        <w:autoSpaceDN w:val="0"/>
        <w:adjustRightInd w:val="0"/>
        <w:textAlignment w:val="baseline"/>
        <w:rPr>
          <w:rFonts w:ascii="CG Times" w:hAnsi="CG Times"/>
          <w:b/>
          <w:szCs w:val="20"/>
        </w:rPr>
      </w:pPr>
      <w:r w:rsidRPr="00813739">
        <w:rPr>
          <w:rFonts w:ascii="Arial" w:hAnsi="Arial"/>
          <w:b/>
          <w:sz w:val="32"/>
          <w:szCs w:val="20"/>
        </w:rPr>
        <w:t>Department of</w:t>
      </w:r>
      <w:r w:rsidRPr="00813739">
        <w:rPr>
          <w:rFonts w:ascii="CG Times" w:hAnsi="CG Times"/>
          <w:b/>
          <w:sz w:val="28"/>
          <w:szCs w:val="20"/>
        </w:rPr>
        <w:tab/>
      </w:r>
      <w:r w:rsidRPr="00813739">
        <w:rPr>
          <w:b/>
          <w:szCs w:val="20"/>
        </w:rPr>
        <w:tab/>
      </w:r>
      <w:r w:rsidRPr="00813739">
        <w:rPr>
          <w:b/>
          <w:sz w:val="60"/>
          <w:szCs w:val="20"/>
        </w:rPr>
        <w:tab/>
        <w:t xml:space="preserve">    </w:t>
      </w:r>
      <w:r w:rsidR="007264F6">
        <w:rPr>
          <w:b/>
          <w:sz w:val="60"/>
          <w:szCs w:val="20"/>
        </w:rPr>
        <w:t xml:space="preserve">       </w:t>
      </w:r>
      <w:r w:rsidRPr="00A2040B">
        <w:rPr>
          <w:rFonts w:ascii="Arial" w:hAnsi="Arial" w:cs="Arial"/>
          <w:b/>
          <w:sz w:val="60"/>
          <w:szCs w:val="20"/>
        </w:rPr>
        <w:t>Memorandum</w:t>
      </w:r>
    </w:p>
    <w:p w14:paraId="5B36CBD8" w14:textId="77777777" w:rsidR="0077781F" w:rsidRDefault="00813739" w:rsidP="0077781F">
      <w:pPr>
        <w:keepNext/>
        <w:widowControl w:val="0"/>
        <w:overflowPunct w:val="0"/>
        <w:autoSpaceDE w:val="0"/>
        <w:autoSpaceDN w:val="0"/>
        <w:adjustRightInd w:val="0"/>
        <w:textAlignment w:val="baseline"/>
        <w:outlineLvl w:val="0"/>
        <w:rPr>
          <w:rFonts w:ascii="Arial" w:hAnsi="Arial"/>
          <w:b/>
          <w:sz w:val="32"/>
          <w:szCs w:val="20"/>
        </w:rPr>
      </w:pPr>
      <w:r w:rsidRPr="00813739">
        <w:rPr>
          <w:rFonts w:ascii="Arial" w:hAnsi="Arial"/>
          <w:b/>
          <w:sz w:val="32"/>
          <w:szCs w:val="20"/>
        </w:rPr>
        <w:t>Veterans Affairs</w:t>
      </w:r>
    </w:p>
    <w:p w14:paraId="6036FD4D" w14:textId="77777777" w:rsidR="0077781F" w:rsidRPr="003571C0" w:rsidRDefault="0077781F" w:rsidP="0077781F">
      <w:pPr>
        <w:keepNext/>
        <w:widowControl w:val="0"/>
        <w:overflowPunct w:val="0"/>
        <w:autoSpaceDE w:val="0"/>
        <w:autoSpaceDN w:val="0"/>
        <w:adjustRightInd w:val="0"/>
        <w:textAlignment w:val="baseline"/>
        <w:outlineLvl w:val="0"/>
        <w:rPr>
          <w:rFonts w:ascii="Arial" w:hAnsi="Arial"/>
          <w:b/>
        </w:rPr>
      </w:pPr>
    </w:p>
    <w:p w14:paraId="38A05907" w14:textId="5694EEA0" w:rsidR="00813739" w:rsidRPr="005A5330" w:rsidRDefault="00813739" w:rsidP="0077781F">
      <w:pPr>
        <w:keepNext/>
        <w:widowControl w:val="0"/>
        <w:overflowPunct w:val="0"/>
        <w:autoSpaceDE w:val="0"/>
        <w:autoSpaceDN w:val="0"/>
        <w:adjustRightInd w:val="0"/>
        <w:textAlignment w:val="baseline"/>
        <w:outlineLvl w:val="0"/>
        <w:rPr>
          <w:rFonts w:ascii="Arial" w:hAnsi="Arial"/>
          <w:b/>
          <w:sz w:val="32"/>
          <w:szCs w:val="20"/>
        </w:rPr>
      </w:pPr>
      <w:r w:rsidRPr="005A5330">
        <w:rPr>
          <w:rFonts w:ascii="Arial" w:hAnsi="Arial" w:cs="Arial"/>
          <w:szCs w:val="20"/>
        </w:rPr>
        <w:t>Date:</w:t>
      </w:r>
      <w:r w:rsidRPr="005A5330">
        <w:rPr>
          <w:rFonts w:ascii="Arial" w:hAnsi="Arial" w:cs="Arial"/>
          <w:szCs w:val="20"/>
        </w:rPr>
        <w:tab/>
      </w:r>
      <w:r w:rsidR="00865B84">
        <w:rPr>
          <w:rFonts w:ascii="Arial" w:hAnsi="Arial" w:cs="Arial"/>
          <w:szCs w:val="20"/>
        </w:rPr>
        <w:t>Ma</w:t>
      </w:r>
      <w:r w:rsidR="001A3FE2">
        <w:rPr>
          <w:rFonts w:ascii="Arial" w:hAnsi="Arial" w:cs="Arial"/>
          <w:szCs w:val="20"/>
        </w:rPr>
        <w:t>y</w:t>
      </w:r>
      <w:r w:rsidR="00865B84">
        <w:rPr>
          <w:rFonts w:ascii="Arial" w:hAnsi="Arial" w:cs="Arial"/>
          <w:szCs w:val="20"/>
        </w:rPr>
        <w:t xml:space="preserve"> </w:t>
      </w:r>
      <w:r w:rsidR="001A3FE2">
        <w:rPr>
          <w:rFonts w:ascii="Arial" w:hAnsi="Arial" w:cs="Arial"/>
          <w:szCs w:val="20"/>
        </w:rPr>
        <w:t>2</w:t>
      </w:r>
      <w:r w:rsidR="00C55997">
        <w:rPr>
          <w:rFonts w:ascii="Arial" w:hAnsi="Arial" w:cs="Arial"/>
          <w:szCs w:val="20"/>
        </w:rPr>
        <w:t>5</w:t>
      </w:r>
      <w:r w:rsidR="00865B84">
        <w:rPr>
          <w:rFonts w:ascii="Arial" w:hAnsi="Arial" w:cs="Arial"/>
          <w:szCs w:val="20"/>
        </w:rPr>
        <w:t>, 202</w:t>
      </w:r>
      <w:r w:rsidR="001A3FE2">
        <w:rPr>
          <w:rFonts w:ascii="Arial" w:hAnsi="Arial" w:cs="Arial"/>
          <w:szCs w:val="20"/>
        </w:rPr>
        <w:t>2</w:t>
      </w:r>
    </w:p>
    <w:p w14:paraId="7A842427" w14:textId="77777777" w:rsidR="00813739" w:rsidRPr="005A5330" w:rsidRDefault="00813739" w:rsidP="00813739">
      <w:pPr>
        <w:keepNext/>
        <w:widowControl w:val="0"/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Cs w:val="20"/>
        </w:rPr>
      </w:pPr>
    </w:p>
    <w:p w14:paraId="56584CB6" w14:textId="2E2A813A" w:rsidR="00187C93" w:rsidRDefault="00813739" w:rsidP="007264F6">
      <w:pPr>
        <w:keepNext/>
        <w:widowControl w:val="0"/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Cs w:val="20"/>
        </w:rPr>
      </w:pPr>
      <w:r w:rsidRPr="005A5330">
        <w:rPr>
          <w:rFonts w:ascii="Arial" w:hAnsi="Arial" w:cs="Arial"/>
          <w:szCs w:val="20"/>
        </w:rPr>
        <w:t>From:</w:t>
      </w:r>
      <w:r w:rsidRPr="005A5330">
        <w:rPr>
          <w:rFonts w:ascii="Arial" w:hAnsi="Arial" w:cs="Arial"/>
          <w:szCs w:val="20"/>
        </w:rPr>
        <w:tab/>
      </w:r>
      <w:r w:rsidR="001A3FE2">
        <w:rPr>
          <w:rFonts w:ascii="Arial" w:hAnsi="Arial" w:cs="Arial"/>
          <w:szCs w:val="20"/>
        </w:rPr>
        <w:t>Brendan Makarewicz</w:t>
      </w:r>
    </w:p>
    <w:p w14:paraId="3F765B4C" w14:textId="77777777" w:rsidR="00DD7ACB" w:rsidRPr="005A5330" w:rsidRDefault="00DD7ACB" w:rsidP="007264F6">
      <w:pPr>
        <w:keepNext/>
        <w:widowControl w:val="0"/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Cs w:val="20"/>
        </w:rPr>
      </w:pPr>
    </w:p>
    <w:p w14:paraId="79C5C4EE" w14:textId="6F6C32EC" w:rsidR="00813739" w:rsidRDefault="00813739" w:rsidP="009724D4">
      <w:pPr>
        <w:keepNext/>
        <w:widowControl w:val="0"/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szCs w:val="20"/>
        </w:rPr>
      </w:pPr>
      <w:r w:rsidRPr="005A5330">
        <w:rPr>
          <w:rFonts w:ascii="Arial" w:hAnsi="Arial" w:cs="Arial"/>
          <w:szCs w:val="20"/>
        </w:rPr>
        <w:t>Subj:</w:t>
      </w:r>
      <w:r w:rsidR="00D61D11">
        <w:rPr>
          <w:rFonts w:ascii="Arial" w:hAnsi="Arial" w:cs="Arial"/>
          <w:szCs w:val="20"/>
        </w:rPr>
        <w:t xml:space="preserve"> </w:t>
      </w:r>
      <w:r w:rsidR="00D61D11">
        <w:rPr>
          <w:rFonts w:ascii="Arial" w:hAnsi="Arial" w:cs="Arial"/>
          <w:szCs w:val="20"/>
        </w:rPr>
        <w:tab/>
      </w:r>
      <w:r w:rsidR="006E55A7">
        <w:rPr>
          <w:rFonts w:ascii="Arial" w:hAnsi="Arial" w:cs="Arial"/>
          <w:szCs w:val="20"/>
        </w:rPr>
        <w:t>Conflicting</w:t>
      </w:r>
      <w:r w:rsidR="00A05987">
        <w:rPr>
          <w:rFonts w:ascii="Arial" w:hAnsi="Arial" w:cs="Arial"/>
          <w:szCs w:val="20"/>
        </w:rPr>
        <w:t xml:space="preserve"> Address</w:t>
      </w:r>
      <w:r w:rsidR="0018162D">
        <w:rPr>
          <w:rFonts w:ascii="Arial" w:hAnsi="Arial" w:cs="Arial"/>
          <w:szCs w:val="20"/>
        </w:rPr>
        <w:t xml:space="preserve"> for Veterans/Claimants </w:t>
      </w:r>
    </w:p>
    <w:p w14:paraId="6372CEA8" w14:textId="77777777" w:rsidR="00377EAF" w:rsidRPr="005A5330" w:rsidRDefault="00377EAF" w:rsidP="00813739">
      <w:pPr>
        <w:keepNext/>
        <w:widowControl w:val="0"/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Cs w:val="20"/>
        </w:rPr>
      </w:pPr>
    </w:p>
    <w:p w14:paraId="3320E45C" w14:textId="2EBD6EAA" w:rsidR="00813739" w:rsidRDefault="00813739" w:rsidP="007264F6">
      <w:pPr>
        <w:keepNext/>
        <w:widowControl w:val="0"/>
        <w:overflowPunct w:val="0"/>
        <w:autoSpaceDE w:val="0"/>
        <w:autoSpaceDN w:val="0"/>
        <w:adjustRightInd w:val="0"/>
        <w:textAlignment w:val="baseline"/>
        <w:outlineLvl w:val="4"/>
        <w:rPr>
          <w:rFonts w:ascii="Arial" w:hAnsi="Arial" w:cs="Arial"/>
          <w:szCs w:val="20"/>
        </w:rPr>
      </w:pPr>
      <w:r w:rsidRPr="005A5330">
        <w:rPr>
          <w:rFonts w:ascii="Arial" w:hAnsi="Arial" w:cs="Arial"/>
          <w:szCs w:val="20"/>
        </w:rPr>
        <w:t>To:</w:t>
      </w:r>
      <w:r w:rsidRPr="005A5330">
        <w:rPr>
          <w:rFonts w:ascii="Arial" w:hAnsi="Arial" w:cs="Arial"/>
          <w:szCs w:val="20"/>
        </w:rPr>
        <w:tab/>
      </w:r>
      <w:r w:rsidR="001A3FE2">
        <w:rPr>
          <w:rFonts w:ascii="Arial" w:hAnsi="Arial" w:cs="Arial"/>
          <w:szCs w:val="20"/>
        </w:rPr>
        <w:t>Pittsburgh Director’s Office</w:t>
      </w:r>
    </w:p>
    <w:p w14:paraId="3AFE33E2" w14:textId="451929BC" w:rsidR="006B38FC" w:rsidRDefault="006B38FC" w:rsidP="007264F6">
      <w:pPr>
        <w:keepNext/>
        <w:widowControl w:val="0"/>
        <w:overflowPunct w:val="0"/>
        <w:autoSpaceDE w:val="0"/>
        <w:autoSpaceDN w:val="0"/>
        <w:adjustRightInd w:val="0"/>
        <w:textAlignment w:val="baseline"/>
        <w:outlineLvl w:val="4"/>
        <w:rPr>
          <w:rFonts w:ascii="Arial" w:hAnsi="Arial" w:cs="Arial"/>
          <w:szCs w:val="20"/>
        </w:rPr>
      </w:pPr>
    </w:p>
    <w:p w14:paraId="41081C0D" w14:textId="4C18CA50" w:rsidR="006B38FC" w:rsidRPr="00E0735C" w:rsidRDefault="006B38FC" w:rsidP="00E0735C">
      <w:pPr>
        <w:keepNext/>
        <w:widowControl w:val="0"/>
        <w:overflowPunct w:val="0"/>
        <w:autoSpaceDE w:val="0"/>
        <w:autoSpaceDN w:val="0"/>
        <w:adjustRightInd w:val="0"/>
        <w:textAlignment w:val="baseline"/>
        <w:outlineLvl w:val="4"/>
        <w:rPr>
          <w:rFonts w:ascii="Arial" w:hAnsi="Arial" w:cs="Arial"/>
          <w:b/>
          <w:bCs/>
          <w:szCs w:val="20"/>
        </w:rPr>
      </w:pPr>
      <w:r w:rsidRPr="00E0735C">
        <w:rPr>
          <w:rFonts w:ascii="Arial" w:hAnsi="Arial" w:cs="Arial"/>
          <w:b/>
          <w:bCs/>
          <w:szCs w:val="20"/>
        </w:rPr>
        <w:t>BACKGROUND:</w:t>
      </w:r>
    </w:p>
    <w:p w14:paraId="6E1630CF" w14:textId="77777777" w:rsidR="00377EAF" w:rsidRPr="00BD1287" w:rsidRDefault="00377EAF" w:rsidP="00377EAF">
      <w:pPr>
        <w:pStyle w:val="ListParagraph"/>
        <w:keepNext/>
        <w:widowControl w:val="0"/>
        <w:overflowPunct w:val="0"/>
        <w:autoSpaceDE w:val="0"/>
        <w:autoSpaceDN w:val="0"/>
        <w:adjustRightInd w:val="0"/>
        <w:ind w:left="360"/>
        <w:textAlignment w:val="baseline"/>
        <w:outlineLvl w:val="4"/>
        <w:rPr>
          <w:rFonts w:ascii="Arial" w:hAnsi="Arial" w:cs="Arial"/>
          <w:b/>
          <w:bCs/>
          <w:sz w:val="16"/>
          <w:szCs w:val="12"/>
        </w:rPr>
      </w:pPr>
    </w:p>
    <w:p w14:paraId="3F343675" w14:textId="15BC3D2C" w:rsidR="00535606" w:rsidRPr="00940A54" w:rsidRDefault="005B41B4" w:rsidP="00A53C6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Veterans</w:t>
      </w:r>
      <w:r w:rsidR="00AF620B">
        <w:rPr>
          <w:rFonts w:ascii="Arial" w:hAnsi="Arial" w:cs="Arial"/>
          <w:szCs w:val="20"/>
        </w:rPr>
        <w:t>/Claimants</w:t>
      </w:r>
      <w:r w:rsidR="00172E62">
        <w:rPr>
          <w:rFonts w:ascii="Arial" w:hAnsi="Arial" w:cs="Arial"/>
          <w:szCs w:val="20"/>
        </w:rPr>
        <w:t xml:space="preserve"> residing outside of the United States </w:t>
      </w:r>
      <w:r w:rsidR="00AF620B">
        <w:rPr>
          <w:rFonts w:ascii="Arial" w:hAnsi="Arial" w:cs="Arial"/>
          <w:szCs w:val="20"/>
        </w:rPr>
        <w:t xml:space="preserve">seeking Veterans Affairs (VA) benefits are considered “foreign” claims.  </w:t>
      </w:r>
      <w:r w:rsidR="00A05987">
        <w:rPr>
          <w:rFonts w:ascii="Arial" w:hAnsi="Arial" w:cs="Arial"/>
          <w:szCs w:val="20"/>
        </w:rPr>
        <w:t xml:space="preserve">Some Veterans/claimants list </w:t>
      </w:r>
      <w:r w:rsidR="00A05987" w:rsidRPr="00A05987">
        <w:rPr>
          <w:rFonts w:ascii="Arial" w:hAnsi="Arial" w:cs="Arial"/>
          <w:szCs w:val="20"/>
        </w:rPr>
        <w:t>a(n) Air/Army Post Office (APO), Fleet Post Office (FPO), or Diplomatic Post Office (DPO) as their address</w:t>
      </w:r>
      <w:r w:rsidR="00A05987">
        <w:rPr>
          <w:rFonts w:ascii="Arial" w:hAnsi="Arial" w:cs="Arial"/>
          <w:szCs w:val="20"/>
        </w:rPr>
        <w:t xml:space="preserve">. </w:t>
      </w:r>
      <w:r w:rsidR="00432E21">
        <w:rPr>
          <w:rFonts w:ascii="Arial" w:hAnsi="Arial" w:cs="Arial"/>
          <w:szCs w:val="20"/>
        </w:rPr>
        <w:t xml:space="preserve">APO, DPO, and FPO addresses are considered foreign claims.  </w:t>
      </w:r>
      <w:r w:rsidR="00A810C5">
        <w:rPr>
          <w:rFonts w:ascii="Arial" w:hAnsi="Arial" w:cs="Arial"/>
          <w:szCs w:val="20"/>
        </w:rPr>
        <w:t xml:space="preserve">It appears that Veterans/claimants that </w:t>
      </w:r>
      <w:r w:rsidR="00432E21">
        <w:rPr>
          <w:rFonts w:ascii="Arial" w:hAnsi="Arial" w:cs="Arial"/>
          <w:szCs w:val="20"/>
        </w:rPr>
        <w:t>r</w:t>
      </w:r>
      <w:r w:rsidR="00A810C5">
        <w:rPr>
          <w:rFonts w:ascii="Arial" w:hAnsi="Arial" w:cs="Arial"/>
          <w:szCs w:val="20"/>
        </w:rPr>
        <w:t>esid</w:t>
      </w:r>
      <w:r w:rsidR="00432E21">
        <w:rPr>
          <w:rFonts w:ascii="Arial" w:hAnsi="Arial" w:cs="Arial"/>
          <w:szCs w:val="20"/>
        </w:rPr>
        <w:t>e</w:t>
      </w:r>
      <w:r w:rsidR="00A810C5">
        <w:rPr>
          <w:rFonts w:ascii="Arial" w:hAnsi="Arial" w:cs="Arial"/>
          <w:szCs w:val="20"/>
        </w:rPr>
        <w:t xml:space="preserve"> within the United States are having a(n) APO, DPO, or FPO erroneously listed as their city. </w:t>
      </w:r>
    </w:p>
    <w:p w14:paraId="6ABA4E9D" w14:textId="22DFE96F" w:rsidR="000F63C7" w:rsidRDefault="000F63C7" w:rsidP="00CC5973">
      <w:pPr>
        <w:rPr>
          <w:rFonts w:ascii="Arial" w:hAnsi="Arial" w:cs="Arial"/>
          <w:szCs w:val="20"/>
        </w:rPr>
      </w:pPr>
    </w:p>
    <w:p w14:paraId="5789590A" w14:textId="77777777" w:rsidR="0099697D" w:rsidRPr="00FF6B44" w:rsidRDefault="0099697D" w:rsidP="0099697D">
      <w:pPr>
        <w:rPr>
          <w:rFonts w:ascii="Arial" w:hAnsi="Arial" w:cs="Arial"/>
          <w:szCs w:val="20"/>
        </w:rPr>
      </w:pPr>
      <w:r w:rsidRPr="00FF6B44">
        <w:rPr>
          <w:rFonts w:ascii="Arial" w:hAnsi="Arial" w:cs="Arial"/>
          <w:szCs w:val="20"/>
        </w:rPr>
        <w:t xml:space="preserve">Pittsburgh </w:t>
      </w:r>
      <w:r>
        <w:rPr>
          <w:rFonts w:ascii="Arial" w:hAnsi="Arial" w:cs="Arial"/>
          <w:szCs w:val="20"/>
        </w:rPr>
        <w:t>RO p</w:t>
      </w:r>
      <w:r w:rsidRPr="00FF6B44">
        <w:rPr>
          <w:rFonts w:ascii="Arial" w:hAnsi="Arial" w:cs="Arial"/>
          <w:szCs w:val="20"/>
        </w:rPr>
        <w:t xml:space="preserve">oints of </w:t>
      </w:r>
      <w:r>
        <w:rPr>
          <w:rFonts w:ascii="Arial" w:hAnsi="Arial" w:cs="Arial"/>
          <w:szCs w:val="20"/>
        </w:rPr>
        <w:t>c</w:t>
      </w:r>
      <w:r w:rsidRPr="00FF6B44">
        <w:rPr>
          <w:rFonts w:ascii="Arial" w:hAnsi="Arial" w:cs="Arial"/>
          <w:szCs w:val="20"/>
        </w:rPr>
        <w:t xml:space="preserve">ontact: </w:t>
      </w:r>
    </w:p>
    <w:p w14:paraId="4B29BE35" w14:textId="77777777" w:rsidR="0099697D" w:rsidRPr="00FF6B44" w:rsidRDefault="0099697D" w:rsidP="0099697D">
      <w:pPr>
        <w:rPr>
          <w:rFonts w:ascii="Arial" w:hAnsi="Arial" w:cs="Arial"/>
          <w:sz w:val="8"/>
          <w:szCs w:val="6"/>
        </w:rPr>
      </w:pPr>
    </w:p>
    <w:p w14:paraId="1B72E57A" w14:textId="77777777" w:rsidR="0099697D" w:rsidRPr="00FF6B44" w:rsidRDefault="0099697D" w:rsidP="0099697D">
      <w:pPr>
        <w:numPr>
          <w:ilvl w:val="0"/>
          <w:numId w:val="24"/>
        </w:numPr>
        <w:rPr>
          <w:rFonts w:ascii="Arial" w:hAnsi="Arial" w:cs="Arial"/>
          <w:szCs w:val="20"/>
        </w:rPr>
      </w:pPr>
      <w:r w:rsidRPr="00FF6B44">
        <w:rPr>
          <w:rFonts w:ascii="Arial" w:hAnsi="Arial" w:cs="Arial"/>
          <w:szCs w:val="20"/>
        </w:rPr>
        <w:t xml:space="preserve">Primary: </w:t>
      </w:r>
      <w:hyperlink r:id="rId11" w:history="1">
        <w:r w:rsidR="00FF6B44" w:rsidRPr="00FF6B44">
          <w:rPr>
            <w:rStyle w:val="Hyperlink"/>
            <w:rFonts w:ascii="Arial" w:hAnsi="Arial" w:cs="Arial"/>
            <w:szCs w:val="20"/>
          </w:rPr>
          <w:t>Brendan</w:t>
        </w:r>
        <w:r w:rsidRPr="00FF6B44">
          <w:rPr>
            <w:rStyle w:val="Hyperlink"/>
            <w:rFonts w:ascii="Arial" w:hAnsi="Arial" w:cs="Arial"/>
            <w:szCs w:val="20"/>
          </w:rPr>
          <w:t>.</w:t>
        </w:r>
        <w:r w:rsidR="00FF6B44" w:rsidRPr="00FF6B44">
          <w:rPr>
            <w:rStyle w:val="Hyperlink"/>
            <w:rFonts w:ascii="Arial" w:hAnsi="Arial" w:cs="Arial"/>
            <w:szCs w:val="20"/>
          </w:rPr>
          <w:t>Makarewicz</w:t>
        </w:r>
        <w:r w:rsidRPr="00FF6B44">
          <w:rPr>
            <w:rStyle w:val="Hyperlink"/>
            <w:rFonts w:ascii="Arial" w:hAnsi="Arial" w:cs="Arial"/>
            <w:szCs w:val="20"/>
          </w:rPr>
          <w:t>@va.gov</w:t>
        </w:r>
      </w:hyperlink>
    </w:p>
    <w:p w14:paraId="21DA3437" w14:textId="77777777" w:rsidR="0099697D" w:rsidRPr="00FF6B44" w:rsidRDefault="0099697D" w:rsidP="0099697D">
      <w:pPr>
        <w:numPr>
          <w:ilvl w:val="0"/>
          <w:numId w:val="24"/>
        </w:numPr>
        <w:rPr>
          <w:rFonts w:ascii="Arial" w:hAnsi="Arial" w:cs="Arial"/>
          <w:szCs w:val="20"/>
        </w:rPr>
      </w:pPr>
      <w:r w:rsidRPr="00FF6B44">
        <w:rPr>
          <w:rFonts w:ascii="Arial" w:hAnsi="Arial" w:cs="Arial"/>
          <w:szCs w:val="20"/>
        </w:rPr>
        <w:t xml:space="preserve">Alternate: </w:t>
      </w:r>
      <w:hyperlink r:id="rId12" w:history="1">
        <w:r w:rsidRPr="00FF6B44">
          <w:rPr>
            <w:rStyle w:val="Hyperlink"/>
            <w:rFonts w:ascii="Arial" w:hAnsi="Arial" w:cs="Arial"/>
            <w:szCs w:val="20"/>
          </w:rPr>
          <w:t>Kate.Matthews@va.gov</w:t>
        </w:r>
      </w:hyperlink>
    </w:p>
    <w:p w14:paraId="030AFC9A" w14:textId="77777777" w:rsidR="0099697D" w:rsidRDefault="0099697D" w:rsidP="00CC5973">
      <w:pPr>
        <w:rPr>
          <w:rFonts w:ascii="Arial" w:hAnsi="Arial" w:cs="Arial"/>
          <w:szCs w:val="20"/>
        </w:rPr>
      </w:pPr>
    </w:p>
    <w:p w14:paraId="0AAB48FE" w14:textId="13E5D992" w:rsidR="004036B1" w:rsidRPr="004036B1" w:rsidRDefault="004036B1" w:rsidP="00E0735C">
      <w:pPr>
        <w:rPr>
          <w:rFonts w:ascii="Arial" w:hAnsi="Arial" w:cs="Arial"/>
          <w:b/>
          <w:bCs/>
          <w:szCs w:val="20"/>
        </w:rPr>
      </w:pPr>
      <w:r w:rsidRPr="004036B1">
        <w:rPr>
          <w:rFonts w:ascii="Arial" w:hAnsi="Arial" w:cs="Arial"/>
          <w:b/>
          <w:bCs/>
          <w:szCs w:val="20"/>
        </w:rPr>
        <w:t>ISSUE</w:t>
      </w:r>
      <w:r w:rsidR="00E0735C">
        <w:rPr>
          <w:rFonts w:ascii="Arial" w:hAnsi="Arial" w:cs="Arial"/>
          <w:b/>
          <w:bCs/>
          <w:szCs w:val="20"/>
        </w:rPr>
        <w:t>:</w:t>
      </w:r>
    </w:p>
    <w:p w14:paraId="681BE514" w14:textId="77777777" w:rsidR="004036B1" w:rsidRPr="00BD1287" w:rsidRDefault="004036B1" w:rsidP="004036B1">
      <w:pPr>
        <w:rPr>
          <w:rFonts w:ascii="Arial" w:hAnsi="Arial" w:cs="Arial"/>
          <w:sz w:val="16"/>
          <w:szCs w:val="12"/>
        </w:rPr>
      </w:pPr>
    </w:p>
    <w:p w14:paraId="4A8B0017" w14:textId="2F0C032D" w:rsidR="000270A2" w:rsidRDefault="00F03C4E" w:rsidP="002B63FE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Veterans/claimants that reside </w:t>
      </w:r>
      <w:r w:rsidR="0018162D">
        <w:rPr>
          <w:rFonts w:ascii="Arial" w:hAnsi="Arial" w:cs="Arial"/>
          <w:szCs w:val="20"/>
        </w:rPr>
        <w:t>within</w:t>
      </w:r>
      <w:r w:rsidR="00AF620B">
        <w:rPr>
          <w:rFonts w:ascii="Arial" w:hAnsi="Arial" w:cs="Arial"/>
          <w:szCs w:val="20"/>
        </w:rPr>
        <w:t xml:space="preserve"> the </w:t>
      </w:r>
      <w:r>
        <w:rPr>
          <w:rFonts w:ascii="Arial" w:hAnsi="Arial" w:cs="Arial"/>
          <w:szCs w:val="20"/>
        </w:rPr>
        <w:t xml:space="preserve">United States </w:t>
      </w:r>
      <w:r w:rsidR="00C30B16">
        <w:rPr>
          <w:rFonts w:ascii="Arial" w:hAnsi="Arial" w:cs="Arial"/>
          <w:szCs w:val="20"/>
        </w:rPr>
        <w:t xml:space="preserve">are having instances of an APO, DPO, or FPO erroneously assigned at the time they submit a claim.  These oversights </w:t>
      </w:r>
      <w:r>
        <w:rPr>
          <w:rFonts w:ascii="Arial" w:hAnsi="Arial" w:cs="Arial"/>
          <w:szCs w:val="20"/>
        </w:rPr>
        <w:t>result in inaccurate data, inaccurate distribution for processing, and cause avoidable delay</w:t>
      </w:r>
      <w:r w:rsidR="00AF620B">
        <w:rPr>
          <w:rFonts w:ascii="Arial" w:hAnsi="Arial" w:cs="Arial"/>
          <w:szCs w:val="20"/>
        </w:rPr>
        <w:t>(s)</w:t>
      </w:r>
      <w:r>
        <w:rPr>
          <w:rFonts w:ascii="Arial" w:hAnsi="Arial" w:cs="Arial"/>
          <w:szCs w:val="20"/>
        </w:rPr>
        <w:t xml:space="preserve"> to </w:t>
      </w:r>
      <w:r w:rsidR="00AF620B">
        <w:rPr>
          <w:rFonts w:ascii="Arial" w:hAnsi="Arial" w:cs="Arial"/>
          <w:szCs w:val="20"/>
        </w:rPr>
        <w:t xml:space="preserve">the </w:t>
      </w:r>
      <w:r>
        <w:rPr>
          <w:rFonts w:ascii="Arial" w:hAnsi="Arial" w:cs="Arial"/>
          <w:szCs w:val="20"/>
        </w:rPr>
        <w:t>resolution and promulgation of claims</w:t>
      </w:r>
      <w:r w:rsidR="00AF620B">
        <w:rPr>
          <w:rFonts w:ascii="Arial" w:hAnsi="Arial" w:cs="Arial"/>
          <w:szCs w:val="20"/>
        </w:rPr>
        <w:t>, both domestic and foreign</w:t>
      </w:r>
      <w:r>
        <w:rPr>
          <w:rFonts w:ascii="Arial" w:hAnsi="Arial" w:cs="Arial"/>
          <w:szCs w:val="20"/>
        </w:rPr>
        <w:t xml:space="preserve">.  </w:t>
      </w:r>
      <w:r w:rsidR="00C30B16">
        <w:rPr>
          <w:rFonts w:ascii="Arial" w:hAnsi="Arial" w:cs="Arial"/>
          <w:szCs w:val="20"/>
        </w:rPr>
        <w:t xml:space="preserve">Moreover, </w:t>
      </w:r>
      <w:r w:rsidR="00432E21">
        <w:rPr>
          <w:rFonts w:ascii="Arial" w:hAnsi="Arial" w:cs="Arial"/>
          <w:szCs w:val="20"/>
        </w:rPr>
        <w:t xml:space="preserve">it is highly likely </w:t>
      </w:r>
      <w:r w:rsidR="00C30B16">
        <w:rPr>
          <w:rFonts w:ascii="Arial" w:hAnsi="Arial" w:cs="Arial"/>
          <w:szCs w:val="20"/>
        </w:rPr>
        <w:t xml:space="preserve">they will lead to undeliverable essential mail and missed payments for beneficiaries not receiving direct deposit.  </w:t>
      </w:r>
    </w:p>
    <w:p w14:paraId="3F5CCF63" w14:textId="3EBE0ECC" w:rsidR="00F03C4E" w:rsidRDefault="00F03C4E" w:rsidP="002B63FE">
      <w:pPr>
        <w:rPr>
          <w:rFonts w:ascii="Arial" w:hAnsi="Arial" w:cs="Arial"/>
          <w:szCs w:val="20"/>
        </w:rPr>
      </w:pPr>
    </w:p>
    <w:p w14:paraId="38167CCC" w14:textId="01A3BE0D" w:rsidR="006B38FC" w:rsidRPr="00F34E7C" w:rsidRDefault="00C417E6" w:rsidP="00CC5973">
      <w:pPr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A</w:t>
      </w:r>
      <w:r w:rsidR="006B38FC" w:rsidRPr="001D76CF">
        <w:rPr>
          <w:rFonts w:ascii="Arial" w:hAnsi="Arial" w:cs="Arial"/>
          <w:b/>
          <w:bCs/>
          <w:szCs w:val="20"/>
        </w:rPr>
        <w:t>NALYSIS</w:t>
      </w:r>
      <w:r w:rsidR="00F34E7C" w:rsidRPr="00F34E7C">
        <w:rPr>
          <w:rFonts w:ascii="Arial" w:hAnsi="Arial" w:cs="Arial"/>
          <w:b/>
          <w:bCs/>
          <w:szCs w:val="20"/>
        </w:rPr>
        <w:t xml:space="preserve">: </w:t>
      </w:r>
    </w:p>
    <w:p w14:paraId="3DF956FA" w14:textId="53ECBB08" w:rsidR="00E24629" w:rsidRPr="00BD1287" w:rsidRDefault="00E24629" w:rsidP="00E24629">
      <w:pPr>
        <w:ind w:left="720"/>
        <w:rPr>
          <w:rFonts w:ascii="Arial" w:hAnsi="Arial" w:cs="Arial"/>
          <w:b/>
          <w:bCs/>
          <w:sz w:val="16"/>
          <w:szCs w:val="12"/>
        </w:rPr>
      </w:pPr>
    </w:p>
    <w:p w14:paraId="4879DACF" w14:textId="4CEDF47B" w:rsidR="00A810C5" w:rsidRDefault="00C30B16" w:rsidP="004A132E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One method for identifying these instances is </w:t>
      </w:r>
      <w:r w:rsidR="00B24F4C">
        <w:rPr>
          <w:rFonts w:ascii="Arial" w:hAnsi="Arial" w:cs="Arial"/>
          <w:szCs w:val="20"/>
        </w:rPr>
        <w:t xml:space="preserve">crossmatching foreign claims that show a USA country code. This list can be found at </w:t>
      </w:r>
      <w:hyperlink r:id="rId13" w:anchor="1" w:history="1">
        <w:r w:rsidR="00B24F4C" w:rsidRPr="00B24F4C">
          <w:rPr>
            <w:rStyle w:val="Hyperlink"/>
            <w:rFonts w:ascii="Arial" w:hAnsi="Arial" w:cs="Arial"/>
            <w:szCs w:val="20"/>
          </w:rPr>
          <w:t>Workbook: Foreign Claims Report (va.gov)</w:t>
        </w:r>
      </w:hyperlink>
      <w:r w:rsidR="00B24F4C">
        <w:rPr>
          <w:rFonts w:ascii="Arial" w:hAnsi="Arial" w:cs="Arial"/>
          <w:szCs w:val="20"/>
        </w:rPr>
        <w:t xml:space="preserve">. </w:t>
      </w:r>
      <w:r w:rsidR="000270A2" w:rsidRPr="000270A2">
        <w:rPr>
          <w:rFonts w:ascii="Arial" w:hAnsi="Arial" w:cs="Arial"/>
          <w:szCs w:val="20"/>
        </w:rPr>
        <w:t>As of Ma</w:t>
      </w:r>
      <w:r w:rsidR="00F03C4E">
        <w:rPr>
          <w:rFonts w:ascii="Arial" w:hAnsi="Arial" w:cs="Arial"/>
          <w:szCs w:val="20"/>
        </w:rPr>
        <w:t>y 2</w:t>
      </w:r>
      <w:r>
        <w:rPr>
          <w:rFonts w:ascii="Arial" w:hAnsi="Arial" w:cs="Arial"/>
          <w:szCs w:val="20"/>
        </w:rPr>
        <w:t>4</w:t>
      </w:r>
      <w:r w:rsidR="000270A2" w:rsidRPr="000270A2">
        <w:rPr>
          <w:rFonts w:ascii="Arial" w:hAnsi="Arial" w:cs="Arial"/>
          <w:szCs w:val="20"/>
        </w:rPr>
        <w:t xml:space="preserve">, 2022, </w:t>
      </w:r>
      <w:r w:rsidR="00F03C4E">
        <w:rPr>
          <w:rFonts w:ascii="Arial" w:hAnsi="Arial" w:cs="Arial"/>
          <w:szCs w:val="20"/>
        </w:rPr>
        <w:t xml:space="preserve">there are </w:t>
      </w:r>
      <w:r w:rsidR="00B24F4C">
        <w:rPr>
          <w:rFonts w:ascii="Arial" w:hAnsi="Arial" w:cs="Arial"/>
          <w:szCs w:val="20"/>
        </w:rPr>
        <w:t>3</w:t>
      </w:r>
      <w:r w:rsidR="00F03C4E">
        <w:rPr>
          <w:rFonts w:ascii="Arial" w:hAnsi="Arial" w:cs="Arial"/>
          <w:szCs w:val="20"/>
        </w:rPr>
        <w:t xml:space="preserve">45 pending </w:t>
      </w:r>
      <w:r w:rsidR="00B24F4C">
        <w:rPr>
          <w:rFonts w:ascii="Arial" w:hAnsi="Arial" w:cs="Arial"/>
          <w:szCs w:val="20"/>
        </w:rPr>
        <w:t xml:space="preserve">foreign </w:t>
      </w:r>
      <w:r w:rsidR="00F03C4E">
        <w:rPr>
          <w:rFonts w:ascii="Arial" w:hAnsi="Arial" w:cs="Arial"/>
          <w:szCs w:val="20"/>
        </w:rPr>
        <w:t xml:space="preserve">claims with </w:t>
      </w:r>
      <w:r w:rsidR="00B24F4C">
        <w:rPr>
          <w:rFonts w:ascii="Arial" w:hAnsi="Arial" w:cs="Arial"/>
          <w:szCs w:val="20"/>
        </w:rPr>
        <w:t xml:space="preserve">USA as the country code.  </w:t>
      </w:r>
      <w:r w:rsidR="00A810C5">
        <w:rPr>
          <w:rFonts w:ascii="Arial" w:hAnsi="Arial" w:cs="Arial"/>
          <w:szCs w:val="20"/>
        </w:rPr>
        <w:t xml:space="preserve">Please see the </w:t>
      </w:r>
      <w:r w:rsidR="007D26D2">
        <w:rPr>
          <w:rFonts w:ascii="Arial" w:hAnsi="Arial" w:cs="Arial"/>
          <w:szCs w:val="20"/>
        </w:rPr>
        <w:t>examples</w:t>
      </w:r>
      <w:r w:rsidR="00A810C5">
        <w:rPr>
          <w:rFonts w:ascii="Arial" w:hAnsi="Arial" w:cs="Arial"/>
          <w:szCs w:val="20"/>
        </w:rPr>
        <w:t xml:space="preserve"> of Veterans/claimants with conflicting addresses</w:t>
      </w:r>
      <w:r w:rsidR="007D26D2">
        <w:rPr>
          <w:rFonts w:ascii="Arial" w:hAnsi="Arial" w:cs="Arial"/>
          <w:szCs w:val="20"/>
        </w:rPr>
        <w:t xml:space="preserve"> below</w:t>
      </w:r>
      <w:r w:rsidR="00A810C5">
        <w:rPr>
          <w:rFonts w:ascii="Arial" w:hAnsi="Arial" w:cs="Arial"/>
          <w:szCs w:val="20"/>
        </w:rPr>
        <w:t>:</w:t>
      </w:r>
    </w:p>
    <w:p w14:paraId="17391D0B" w14:textId="051BE4E0" w:rsidR="00FF6B44" w:rsidRDefault="00FF6B44" w:rsidP="004A132E">
      <w:pPr>
        <w:rPr>
          <w:rFonts w:ascii="Arial" w:hAnsi="Arial" w:cs="Arial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810"/>
        <w:gridCol w:w="2070"/>
        <w:gridCol w:w="1985"/>
        <w:gridCol w:w="2741"/>
      </w:tblGrid>
      <w:tr w:rsidR="0099697D" w:rsidRPr="0099697D" w14:paraId="1F07859E" w14:textId="77777777" w:rsidTr="00BD1287">
        <w:trPr>
          <w:jc w:val="center"/>
        </w:trPr>
        <w:tc>
          <w:tcPr>
            <w:tcW w:w="1525" w:type="dxa"/>
            <w:shd w:val="clear" w:color="auto" w:fill="A6A6A6" w:themeFill="background1" w:themeFillShade="A6"/>
          </w:tcPr>
          <w:p w14:paraId="47F298C3" w14:textId="5BD0EF3A" w:rsidR="0099697D" w:rsidRPr="0099697D" w:rsidRDefault="0099697D" w:rsidP="004A132E">
            <w:pPr>
              <w:rPr>
                <w:rFonts w:ascii="Arial" w:hAnsi="Arial" w:cs="Arial"/>
                <w:b/>
                <w:bCs/>
                <w:szCs w:val="20"/>
              </w:rPr>
            </w:pPr>
            <w:r w:rsidRPr="0099697D">
              <w:rPr>
                <w:rFonts w:ascii="Arial" w:hAnsi="Arial" w:cs="Arial"/>
                <w:b/>
                <w:bCs/>
                <w:szCs w:val="20"/>
              </w:rPr>
              <w:t>Claim ID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0DB4C54" w14:textId="4EBDF124" w:rsidR="0099697D" w:rsidRPr="0099697D" w:rsidRDefault="0099697D" w:rsidP="004A132E">
            <w:pPr>
              <w:rPr>
                <w:rFonts w:ascii="Arial" w:hAnsi="Arial" w:cs="Arial"/>
                <w:b/>
                <w:bCs/>
                <w:szCs w:val="20"/>
              </w:rPr>
            </w:pPr>
            <w:r w:rsidRPr="0099697D">
              <w:rPr>
                <w:rFonts w:ascii="Arial" w:hAnsi="Arial" w:cs="Arial"/>
                <w:b/>
                <w:bCs/>
                <w:szCs w:val="20"/>
              </w:rPr>
              <w:t>EP</w:t>
            </w:r>
          </w:p>
        </w:tc>
        <w:tc>
          <w:tcPr>
            <w:tcW w:w="2070" w:type="dxa"/>
            <w:shd w:val="clear" w:color="auto" w:fill="A6A6A6" w:themeFill="background1" w:themeFillShade="A6"/>
          </w:tcPr>
          <w:p w14:paraId="380C040A" w14:textId="18DB2130" w:rsidR="0099697D" w:rsidRPr="0099697D" w:rsidRDefault="0099697D" w:rsidP="004A132E">
            <w:pPr>
              <w:rPr>
                <w:rFonts w:ascii="Arial" w:hAnsi="Arial" w:cs="Arial"/>
                <w:b/>
                <w:bCs/>
                <w:szCs w:val="20"/>
              </w:rPr>
            </w:pPr>
            <w:r w:rsidRPr="0099697D">
              <w:rPr>
                <w:rFonts w:ascii="Arial" w:hAnsi="Arial" w:cs="Arial"/>
                <w:b/>
                <w:bCs/>
                <w:szCs w:val="20"/>
              </w:rPr>
              <w:t>Content Source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14:paraId="4003BF16" w14:textId="0EDB2C3D" w:rsidR="0099697D" w:rsidRPr="0099697D" w:rsidRDefault="0099697D" w:rsidP="004A132E">
            <w:pPr>
              <w:rPr>
                <w:rFonts w:ascii="Arial" w:hAnsi="Arial" w:cs="Arial"/>
                <w:b/>
                <w:bCs/>
                <w:szCs w:val="20"/>
              </w:rPr>
            </w:pPr>
            <w:r w:rsidRPr="0099697D">
              <w:rPr>
                <w:rFonts w:ascii="Arial" w:hAnsi="Arial" w:cs="Arial"/>
                <w:b/>
                <w:bCs/>
                <w:szCs w:val="20"/>
              </w:rPr>
              <w:t>System Source</w:t>
            </w:r>
          </w:p>
        </w:tc>
        <w:tc>
          <w:tcPr>
            <w:tcW w:w="2741" w:type="dxa"/>
            <w:shd w:val="clear" w:color="auto" w:fill="A6A6A6" w:themeFill="background1" w:themeFillShade="A6"/>
          </w:tcPr>
          <w:p w14:paraId="6AC68575" w14:textId="19475F96" w:rsidR="0099697D" w:rsidRPr="0099697D" w:rsidRDefault="0099697D" w:rsidP="004A132E">
            <w:pPr>
              <w:rPr>
                <w:rFonts w:ascii="Arial" w:hAnsi="Arial" w:cs="Arial"/>
                <w:b/>
                <w:bCs/>
                <w:szCs w:val="20"/>
              </w:rPr>
            </w:pPr>
            <w:r w:rsidRPr="0099697D">
              <w:rPr>
                <w:rFonts w:ascii="Arial" w:hAnsi="Arial" w:cs="Arial"/>
                <w:b/>
                <w:bCs/>
                <w:szCs w:val="20"/>
              </w:rPr>
              <w:t>Before or After cest</w:t>
            </w:r>
          </w:p>
        </w:tc>
      </w:tr>
      <w:tr w:rsidR="0099697D" w14:paraId="1C9F9D96" w14:textId="77777777" w:rsidTr="00BD1287">
        <w:trPr>
          <w:jc w:val="center"/>
        </w:trPr>
        <w:tc>
          <w:tcPr>
            <w:tcW w:w="1525" w:type="dxa"/>
          </w:tcPr>
          <w:p w14:paraId="7E9DBEFC" w14:textId="4C74AF7B" w:rsidR="0099697D" w:rsidRPr="0099697D" w:rsidRDefault="0099697D" w:rsidP="00FF6B44">
            <w:pPr>
              <w:rPr>
                <w:rFonts w:ascii="Arial" w:hAnsi="Arial" w:cs="Arial"/>
                <w:color w:val="000000"/>
              </w:rPr>
            </w:pPr>
            <w:r w:rsidRPr="0099697D">
              <w:rPr>
                <w:rFonts w:ascii="Arial" w:hAnsi="Arial" w:cs="Arial"/>
                <w:color w:val="000000"/>
              </w:rPr>
              <w:t>372901585</w:t>
            </w:r>
          </w:p>
        </w:tc>
        <w:tc>
          <w:tcPr>
            <w:tcW w:w="810" w:type="dxa"/>
          </w:tcPr>
          <w:p w14:paraId="04B4B96B" w14:textId="1337D9B3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010</w:t>
            </w:r>
          </w:p>
        </w:tc>
        <w:tc>
          <w:tcPr>
            <w:tcW w:w="2070" w:type="dxa"/>
          </w:tcPr>
          <w:p w14:paraId="2439F8B1" w14:textId="1F247D5D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VA.gov</w:t>
            </w:r>
          </w:p>
        </w:tc>
        <w:tc>
          <w:tcPr>
            <w:tcW w:w="1985" w:type="dxa"/>
          </w:tcPr>
          <w:p w14:paraId="5F066854" w14:textId="7FA887BB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EVSS</w:t>
            </w:r>
          </w:p>
        </w:tc>
        <w:tc>
          <w:tcPr>
            <w:tcW w:w="2741" w:type="dxa"/>
          </w:tcPr>
          <w:p w14:paraId="13DD4A0A" w14:textId="6C2DB066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After</w:t>
            </w:r>
          </w:p>
        </w:tc>
      </w:tr>
      <w:tr w:rsidR="0099697D" w14:paraId="13042DAA" w14:textId="77777777" w:rsidTr="00BD1287">
        <w:trPr>
          <w:jc w:val="center"/>
        </w:trPr>
        <w:tc>
          <w:tcPr>
            <w:tcW w:w="1525" w:type="dxa"/>
          </w:tcPr>
          <w:p w14:paraId="326D4BB9" w14:textId="337CE14B" w:rsidR="0099697D" w:rsidRPr="0099697D" w:rsidRDefault="0099697D" w:rsidP="00FF6B44">
            <w:pPr>
              <w:rPr>
                <w:rFonts w:ascii="Arial" w:hAnsi="Arial" w:cs="Arial"/>
                <w:color w:val="000000"/>
              </w:rPr>
            </w:pPr>
            <w:r w:rsidRPr="0099697D">
              <w:rPr>
                <w:rFonts w:ascii="Arial" w:hAnsi="Arial" w:cs="Arial"/>
                <w:color w:val="000000"/>
              </w:rPr>
              <w:t>252983419</w:t>
            </w:r>
          </w:p>
        </w:tc>
        <w:tc>
          <w:tcPr>
            <w:tcW w:w="810" w:type="dxa"/>
          </w:tcPr>
          <w:p w14:paraId="25FED5F2" w14:textId="78B37BCB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020</w:t>
            </w:r>
          </w:p>
        </w:tc>
        <w:tc>
          <w:tcPr>
            <w:tcW w:w="2070" w:type="dxa"/>
          </w:tcPr>
          <w:p w14:paraId="3C62614F" w14:textId="6CD290CE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VA.gov</w:t>
            </w:r>
          </w:p>
        </w:tc>
        <w:tc>
          <w:tcPr>
            <w:tcW w:w="1985" w:type="dxa"/>
          </w:tcPr>
          <w:p w14:paraId="253BD69D" w14:textId="63F95269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EVSS</w:t>
            </w:r>
          </w:p>
        </w:tc>
        <w:tc>
          <w:tcPr>
            <w:tcW w:w="2741" w:type="dxa"/>
          </w:tcPr>
          <w:p w14:paraId="03A50062" w14:textId="77A739CA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After</w:t>
            </w:r>
          </w:p>
        </w:tc>
      </w:tr>
      <w:tr w:rsidR="0099697D" w14:paraId="0BBE66D8" w14:textId="77777777" w:rsidTr="00BD1287">
        <w:trPr>
          <w:jc w:val="center"/>
        </w:trPr>
        <w:tc>
          <w:tcPr>
            <w:tcW w:w="1525" w:type="dxa"/>
          </w:tcPr>
          <w:p w14:paraId="225898D1" w14:textId="58DBCB64" w:rsidR="0099697D" w:rsidRPr="0099697D" w:rsidRDefault="0099697D" w:rsidP="00FF6B44">
            <w:pPr>
              <w:rPr>
                <w:rFonts w:ascii="Arial" w:hAnsi="Arial" w:cs="Arial"/>
                <w:color w:val="000000"/>
              </w:rPr>
            </w:pPr>
            <w:r w:rsidRPr="0099697D">
              <w:rPr>
                <w:rFonts w:ascii="Arial" w:hAnsi="Arial" w:cs="Arial"/>
                <w:color w:val="000000"/>
              </w:rPr>
              <w:t>500866245</w:t>
            </w:r>
          </w:p>
        </w:tc>
        <w:tc>
          <w:tcPr>
            <w:tcW w:w="810" w:type="dxa"/>
          </w:tcPr>
          <w:p w14:paraId="3BEB5D65" w14:textId="410FE7AE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130</w:t>
            </w:r>
          </w:p>
        </w:tc>
        <w:tc>
          <w:tcPr>
            <w:tcW w:w="2070" w:type="dxa"/>
          </w:tcPr>
          <w:p w14:paraId="4F6AD2DE" w14:textId="58C5AA63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BVA</w:t>
            </w:r>
          </w:p>
        </w:tc>
        <w:tc>
          <w:tcPr>
            <w:tcW w:w="1985" w:type="dxa"/>
          </w:tcPr>
          <w:p w14:paraId="50286D0F" w14:textId="7098CA75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Lighthouse</w:t>
            </w:r>
          </w:p>
        </w:tc>
        <w:tc>
          <w:tcPr>
            <w:tcW w:w="2741" w:type="dxa"/>
          </w:tcPr>
          <w:p w14:paraId="39ECAD32" w14:textId="6560F749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After</w:t>
            </w:r>
          </w:p>
        </w:tc>
      </w:tr>
      <w:tr w:rsidR="0099697D" w14:paraId="0ECA1854" w14:textId="77777777" w:rsidTr="00BD1287">
        <w:trPr>
          <w:jc w:val="center"/>
        </w:trPr>
        <w:tc>
          <w:tcPr>
            <w:tcW w:w="1525" w:type="dxa"/>
          </w:tcPr>
          <w:p w14:paraId="227C1E99" w14:textId="0316B0AB" w:rsidR="0099697D" w:rsidRPr="0099697D" w:rsidRDefault="0099697D" w:rsidP="00FF6B44">
            <w:pPr>
              <w:rPr>
                <w:rFonts w:ascii="Arial" w:hAnsi="Arial" w:cs="Arial"/>
              </w:rPr>
            </w:pPr>
            <w:r w:rsidRPr="0099697D">
              <w:rPr>
                <w:rFonts w:ascii="Arial" w:hAnsi="Arial" w:cs="Arial"/>
              </w:rPr>
              <w:t>297687831</w:t>
            </w:r>
          </w:p>
        </w:tc>
        <w:tc>
          <w:tcPr>
            <w:tcW w:w="810" w:type="dxa"/>
          </w:tcPr>
          <w:p w14:paraId="0EAE9AEB" w14:textId="4615A2D5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130</w:t>
            </w:r>
          </w:p>
        </w:tc>
        <w:tc>
          <w:tcPr>
            <w:tcW w:w="2070" w:type="dxa"/>
          </w:tcPr>
          <w:p w14:paraId="5B79D9D9" w14:textId="3B6B4B84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BVA</w:t>
            </w:r>
          </w:p>
        </w:tc>
        <w:tc>
          <w:tcPr>
            <w:tcW w:w="1985" w:type="dxa"/>
          </w:tcPr>
          <w:p w14:paraId="6CA747AD" w14:textId="1BD0D5F1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Lighthouse</w:t>
            </w:r>
          </w:p>
        </w:tc>
        <w:tc>
          <w:tcPr>
            <w:tcW w:w="2741" w:type="dxa"/>
          </w:tcPr>
          <w:p w14:paraId="68759CA0" w14:textId="53FBA3EE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After</w:t>
            </w:r>
          </w:p>
        </w:tc>
      </w:tr>
      <w:tr w:rsidR="0099697D" w14:paraId="780876C5" w14:textId="77777777" w:rsidTr="00BD1287">
        <w:trPr>
          <w:jc w:val="center"/>
        </w:trPr>
        <w:tc>
          <w:tcPr>
            <w:tcW w:w="1525" w:type="dxa"/>
          </w:tcPr>
          <w:p w14:paraId="7A13FE18" w14:textId="188454D5" w:rsidR="0099697D" w:rsidRPr="0099697D" w:rsidRDefault="0099697D" w:rsidP="00FF6B44">
            <w:pPr>
              <w:rPr>
                <w:rFonts w:ascii="Arial" w:hAnsi="Arial" w:cs="Arial"/>
                <w:color w:val="000000"/>
              </w:rPr>
            </w:pPr>
            <w:r w:rsidRPr="0099697D">
              <w:rPr>
                <w:rFonts w:ascii="Arial" w:hAnsi="Arial" w:cs="Arial"/>
                <w:color w:val="000000"/>
              </w:rPr>
              <w:t>260556212</w:t>
            </w:r>
          </w:p>
        </w:tc>
        <w:tc>
          <w:tcPr>
            <w:tcW w:w="810" w:type="dxa"/>
          </w:tcPr>
          <w:p w14:paraId="6C07C5AB" w14:textId="4D017A70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130</w:t>
            </w:r>
          </w:p>
        </w:tc>
        <w:tc>
          <w:tcPr>
            <w:tcW w:w="2070" w:type="dxa"/>
          </w:tcPr>
          <w:p w14:paraId="01372125" w14:textId="5D33C3AB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BVA</w:t>
            </w:r>
          </w:p>
        </w:tc>
        <w:tc>
          <w:tcPr>
            <w:tcW w:w="1985" w:type="dxa"/>
          </w:tcPr>
          <w:p w14:paraId="3AFF2AD6" w14:textId="35AC401D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Lighthouse</w:t>
            </w:r>
          </w:p>
        </w:tc>
        <w:tc>
          <w:tcPr>
            <w:tcW w:w="2741" w:type="dxa"/>
          </w:tcPr>
          <w:p w14:paraId="6A1B1587" w14:textId="77CCB753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After</w:t>
            </w:r>
          </w:p>
        </w:tc>
      </w:tr>
      <w:tr w:rsidR="0099697D" w14:paraId="3D855486" w14:textId="77777777" w:rsidTr="00BD1287">
        <w:trPr>
          <w:jc w:val="center"/>
        </w:trPr>
        <w:tc>
          <w:tcPr>
            <w:tcW w:w="1525" w:type="dxa"/>
          </w:tcPr>
          <w:p w14:paraId="77C152D5" w14:textId="27B73883" w:rsidR="0099697D" w:rsidRPr="0099697D" w:rsidRDefault="0099697D" w:rsidP="00FF6B44">
            <w:pPr>
              <w:rPr>
                <w:rFonts w:ascii="Arial" w:hAnsi="Arial" w:cs="Arial"/>
                <w:color w:val="000000"/>
              </w:rPr>
            </w:pPr>
            <w:r w:rsidRPr="0099697D">
              <w:rPr>
                <w:rFonts w:ascii="Arial" w:hAnsi="Arial" w:cs="Arial"/>
                <w:color w:val="000000"/>
              </w:rPr>
              <w:t>134507293</w:t>
            </w:r>
          </w:p>
        </w:tc>
        <w:tc>
          <w:tcPr>
            <w:tcW w:w="810" w:type="dxa"/>
          </w:tcPr>
          <w:p w14:paraId="4E93AB8A" w14:textId="01115FB2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130</w:t>
            </w:r>
          </w:p>
        </w:tc>
        <w:tc>
          <w:tcPr>
            <w:tcW w:w="2070" w:type="dxa"/>
          </w:tcPr>
          <w:p w14:paraId="1228B835" w14:textId="601ED905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BVA</w:t>
            </w:r>
          </w:p>
        </w:tc>
        <w:tc>
          <w:tcPr>
            <w:tcW w:w="1985" w:type="dxa"/>
          </w:tcPr>
          <w:p w14:paraId="3F2F9262" w14:textId="2C246FE7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Lighthouse</w:t>
            </w:r>
          </w:p>
        </w:tc>
        <w:tc>
          <w:tcPr>
            <w:tcW w:w="2741" w:type="dxa"/>
          </w:tcPr>
          <w:p w14:paraId="1F0F9E3C" w14:textId="03A1F181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After</w:t>
            </w:r>
          </w:p>
        </w:tc>
      </w:tr>
      <w:tr w:rsidR="0099697D" w14:paraId="7815CDCE" w14:textId="77777777" w:rsidTr="00BD1287">
        <w:trPr>
          <w:jc w:val="center"/>
        </w:trPr>
        <w:tc>
          <w:tcPr>
            <w:tcW w:w="1525" w:type="dxa"/>
          </w:tcPr>
          <w:p w14:paraId="3F08699A" w14:textId="3AFFCEDC" w:rsidR="0099697D" w:rsidRPr="0099697D" w:rsidRDefault="0099697D" w:rsidP="00FF6B44">
            <w:pPr>
              <w:rPr>
                <w:rFonts w:ascii="Arial" w:hAnsi="Arial" w:cs="Arial"/>
                <w:color w:val="000000"/>
              </w:rPr>
            </w:pPr>
            <w:r w:rsidRPr="0099697D">
              <w:rPr>
                <w:rFonts w:ascii="Arial" w:hAnsi="Arial" w:cs="Arial"/>
                <w:color w:val="000000"/>
              </w:rPr>
              <w:t>164581132</w:t>
            </w:r>
          </w:p>
        </w:tc>
        <w:tc>
          <w:tcPr>
            <w:tcW w:w="810" w:type="dxa"/>
          </w:tcPr>
          <w:p w14:paraId="40C81961" w14:textId="10B4118F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130</w:t>
            </w:r>
          </w:p>
        </w:tc>
        <w:tc>
          <w:tcPr>
            <w:tcW w:w="2070" w:type="dxa"/>
          </w:tcPr>
          <w:p w14:paraId="57826F4F" w14:textId="744548F1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Unknown</w:t>
            </w:r>
          </w:p>
        </w:tc>
        <w:tc>
          <w:tcPr>
            <w:tcW w:w="1985" w:type="dxa"/>
          </w:tcPr>
          <w:p w14:paraId="41F51812" w14:textId="572501E6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Unknown</w:t>
            </w:r>
          </w:p>
        </w:tc>
        <w:tc>
          <w:tcPr>
            <w:tcW w:w="2741" w:type="dxa"/>
          </w:tcPr>
          <w:p w14:paraId="72A9335E" w14:textId="76BA8933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After</w:t>
            </w:r>
          </w:p>
        </w:tc>
      </w:tr>
      <w:tr w:rsidR="0099697D" w14:paraId="46C4DFE7" w14:textId="77777777" w:rsidTr="00BD1287">
        <w:trPr>
          <w:jc w:val="center"/>
        </w:trPr>
        <w:tc>
          <w:tcPr>
            <w:tcW w:w="1525" w:type="dxa"/>
          </w:tcPr>
          <w:p w14:paraId="364EEBC8" w14:textId="02AF9C87" w:rsidR="0099697D" w:rsidRPr="0099697D" w:rsidRDefault="0099697D" w:rsidP="00FF6B44">
            <w:pPr>
              <w:rPr>
                <w:rFonts w:ascii="Arial" w:hAnsi="Arial" w:cs="Arial"/>
                <w:color w:val="000000"/>
              </w:rPr>
            </w:pPr>
            <w:r w:rsidRPr="0099697D">
              <w:rPr>
                <w:rFonts w:ascii="Arial" w:hAnsi="Arial" w:cs="Arial"/>
                <w:color w:val="000000"/>
              </w:rPr>
              <w:t>144621057</w:t>
            </w:r>
          </w:p>
        </w:tc>
        <w:tc>
          <w:tcPr>
            <w:tcW w:w="810" w:type="dxa"/>
          </w:tcPr>
          <w:p w14:paraId="0CB82BE1" w14:textId="0CDAC482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130</w:t>
            </w:r>
          </w:p>
        </w:tc>
        <w:tc>
          <w:tcPr>
            <w:tcW w:w="2070" w:type="dxa"/>
          </w:tcPr>
          <w:p w14:paraId="10781083" w14:textId="37CDDD52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BVA</w:t>
            </w:r>
          </w:p>
        </w:tc>
        <w:tc>
          <w:tcPr>
            <w:tcW w:w="1985" w:type="dxa"/>
          </w:tcPr>
          <w:p w14:paraId="691E26C9" w14:textId="656F93DB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Lighthouse</w:t>
            </w:r>
          </w:p>
        </w:tc>
        <w:tc>
          <w:tcPr>
            <w:tcW w:w="2741" w:type="dxa"/>
          </w:tcPr>
          <w:p w14:paraId="44C2EBE0" w14:textId="6D2E513A" w:rsidR="0099697D" w:rsidRDefault="0099697D" w:rsidP="004A132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After</w:t>
            </w:r>
          </w:p>
        </w:tc>
      </w:tr>
    </w:tbl>
    <w:p w14:paraId="14392CFD" w14:textId="4741B0E5" w:rsidR="00FE5BE5" w:rsidRDefault="00DA56C4" w:rsidP="004A132E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 xml:space="preserve">22.6% of the claims are non-rating 130 end products (EP).  Further investigation of a few </w:t>
      </w:r>
      <w:r w:rsidR="00FE5BE5">
        <w:rPr>
          <w:rFonts w:ascii="Arial" w:hAnsi="Arial" w:cs="Arial"/>
          <w:szCs w:val="20"/>
        </w:rPr>
        <w:t xml:space="preserve">130 EP </w:t>
      </w:r>
      <w:r>
        <w:rPr>
          <w:rFonts w:ascii="Arial" w:hAnsi="Arial" w:cs="Arial"/>
          <w:szCs w:val="20"/>
        </w:rPr>
        <w:t xml:space="preserve">claims </w:t>
      </w:r>
      <w:r w:rsidR="00A810C5">
        <w:rPr>
          <w:rFonts w:ascii="Arial" w:hAnsi="Arial" w:cs="Arial"/>
          <w:szCs w:val="20"/>
        </w:rPr>
        <w:t>identify</w:t>
      </w:r>
      <w:r w:rsidR="00BF2CA9">
        <w:rPr>
          <w:rFonts w:ascii="Arial" w:hAnsi="Arial" w:cs="Arial"/>
          <w:szCs w:val="20"/>
        </w:rPr>
        <w:t xml:space="preserve"> the Veteran/claimant reside</w:t>
      </w:r>
      <w:r w:rsidR="00A810C5">
        <w:rPr>
          <w:rFonts w:ascii="Arial" w:hAnsi="Arial" w:cs="Arial"/>
          <w:szCs w:val="20"/>
        </w:rPr>
        <w:t>s</w:t>
      </w:r>
      <w:r w:rsidR="00BF2CA9">
        <w:rPr>
          <w:rFonts w:ascii="Arial" w:hAnsi="Arial" w:cs="Arial"/>
          <w:szCs w:val="20"/>
        </w:rPr>
        <w:t xml:space="preserve"> in the United States</w:t>
      </w:r>
      <w:r w:rsidR="00A810C5">
        <w:rPr>
          <w:rFonts w:ascii="Arial" w:hAnsi="Arial" w:cs="Arial"/>
          <w:szCs w:val="20"/>
        </w:rPr>
        <w:t>, but</w:t>
      </w:r>
      <w:r w:rsidR="00BF2CA9">
        <w:rPr>
          <w:rFonts w:ascii="Arial" w:hAnsi="Arial" w:cs="Arial"/>
          <w:szCs w:val="20"/>
        </w:rPr>
        <w:t xml:space="preserve"> a(n) DPO or APO was erroneously applied to the address </w:t>
      </w:r>
      <w:r w:rsidR="004B4E47">
        <w:rPr>
          <w:rFonts w:ascii="Arial" w:hAnsi="Arial" w:cs="Arial"/>
          <w:szCs w:val="20"/>
        </w:rPr>
        <w:t xml:space="preserve">upon receipt VA Form 21-686c </w:t>
      </w:r>
      <w:r w:rsidR="00FE5BE5">
        <w:rPr>
          <w:rFonts w:ascii="Arial" w:hAnsi="Arial" w:cs="Arial"/>
          <w:szCs w:val="20"/>
        </w:rPr>
        <w:t>or</w:t>
      </w:r>
      <w:r w:rsidR="004B4E47">
        <w:rPr>
          <w:rFonts w:ascii="Arial" w:hAnsi="Arial" w:cs="Arial"/>
          <w:szCs w:val="20"/>
        </w:rPr>
        <w:t xml:space="preserve"> 21-674.  VA Form 21-686c lists DPO as the city. VA Form 21-674 does not.  The content source of these uploads is “BVA</w:t>
      </w:r>
      <w:r w:rsidR="00432E21">
        <w:rPr>
          <w:rFonts w:ascii="Arial" w:hAnsi="Arial" w:cs="Arial"/>
          <w:szCs w:val="20"/>
        </w:rPr>
        <w:t>”,</w:t>
      </w:r>
      <w:r w:rsidR="004B4E47">
        <w:rPr>
          <w:rFonts w:ascii="Arial" w:hAnsi="Arial" w:cs="Arial"/>
          <w:szCs w:val="20"/>
        </w:rPr>
        <w:t xml:space="preserve"> and </w:t>
      </w:r>
      <w:r w:rsidR="00C8500F">
        <w:rPr>
          <w:rFonts w:ascii="Arial" w:hAnsi="Arial" w:cs="Arial"/>
          <w:szCs w:val="20"/>
        </w:rPr>
        <w:t xml:space="preserve">the </w:t>
      </w:r>
      <w:r w:rsidR="004B4E47">
        <w:rPr>
          <w:rFonts w:ascii="Arial" w:hAnsi="Arial" w:cs="Arial"/>
          <w:szCs w:val="20"/>
        </w:rPr>
        <w:t xml:space="preserve">system source is “lighthouse.”  </w:t>
      </w:r>
      <w:r w:rsidR="00BF2CA9">
        <w:rPr>
          <w:rFonts w:ascii="Arial" w:hAnsi="Arial" w:cs="Arial"/>
          <w:szCs w:val="20"/>
        </w:rPr>
        <w:t>It is unclear how APO or DPO populate</w:t>
      </w:r>
      <w:r w:rsidR="00C8500F">
        <w:rPr>
          <w:rFonts w:ascii="Arial" w:hAnsi="Arial" w:cs="Arial"/>
          <w:szCs w:val="20"/>
        </w:rPr>
        <w:t>s</w:t>
      </w:r>
      <w:r w:rsidR="00BF2CA9">
        <w:rPr>
          <w:rFonts w:ascii="Arial" w:hAnsi="Arial" w:cs="Arial"/>
          <w:szCs w:val="20"/>
        </w:rPr>
        <w:t xml:space="preserve"> on VA Form 21-686c. </w:t>
      </w:r>
      <w:r>
        <w:rPr>
          <w:rFonts w:ascii="Arial" w:hAnsi="Arial" w:cs="Arial"/>
          <w:szCs w:val="20"/>
        </w:rPr>
        <w:t xml:space="preserve"> </w:t>
      </w:r>
    </w:p>
    <w:p w14:paraId="69E17FFF" w14:textId="77777777" w:rsidR="00FE5BE5" w:rsidRDefault="00FE5BE5" w:rsidP="004A132E">
      <w:pPr>
        <w:rPr>
          <w:rFonts w:ascii="Arial" w:hAnsi="Arial" w:cs="Arial"/>
          <w:szCs w:val="20"/>
        </w:rPr>
      </w:pPr>
    </w:p>
    <w:p w14:paraId="0F3F15BC" w14:textId="44F059B4" w:rsidR="003B1291" w:rsidRDefault="00FE5BE5" w:rsidP="003B129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Of the few rating EPs</w:t>
      </w:r>
      <w:r w:rsidR="00BF2CA9">
        <w:rPr>
          <w:rFonts w:ascii="Arial" w:hAnsi="Arial" w:cs="Arial"/>
          <w:szCs w:val="20"/>
        </w:rPr>
        <w:t xml:space="preserve"> reviewed on the list, not all were erroneously identified as a foreign claim. T</w:t>
      </w:r>
      <w:r w:rsidR="00A810C5">
        <w:rPr>
          <w:rFonts w:ascii="Arial" w:hAnsi="Arial" w:cs="Arial"/>
          <w:szCs w:val="20"/>
        </w:rPr>
        <w:t xml:space="preserve">hose that are erroneously identified as a foreign claim have </w:t>
      </w:r>
      <w:r w:rsidR="00BF2CA9">
        <w:rPr>
          <w:rFonts w:ascii="Arial" w:hAnsi="Arial" w:cs="Arial"/>
          <w:szCs w:val="20"/>
        </w:rPr>
        <w:t>an APO</w:t>
      </w:r>
      <w:r w:rsidR="003B1291">
        <w:rPr>
          <w:rFonts w:ascii="Arial" w:hAnsi="Arial" w:cs="Arial"/>
          <w:szCs w:val="20"/>
        </w:rPr>
        <w:t xml:space="preserve"> </w:t>
      </w:r>
      <w:r w:rsidR="00A810C5">
        <w:rPr>
          <w:rFonts w:ascii="Arial" w:hAnsi="Arial" w:cs="Arial"/>
          <w:szCs w:val="20"/>
        </w:rPr>
        <w:t>applied to the address upon receipt of the electronically submitted VA Form 21-526EZ</w:t>
      </w:r>
      <w:r w:rsidR="00394E6A">
        <w:rPr>
          <w:rFonts w:ascii="Arial" w:hAnsi="Arial" w:cs="Arial"/>
          <w:szCs w:val="20"/>
        </w:rPr>
        <w:t>, similar to VA Form 21-686c</w:t>
      </w:r>
      <w:r w:rsidR="0004463B">
        <w:rPr>
          <w:rFonts w:ascii="Arial" w:hAnsi="Arial" w:cs="Arial"/>
          <w:szCs w:val="20"/>
        </w:rPr>
        <w:t>.  VA Form 21-526ez shows APO listed</w:t>
      </w:r>
      <w:r w:rsidR="003B1291">
        <w:rPr>
          <w:rFonts w:ascii="Arial" w:hAnsi="Arial" w:cs="Arial"/>
          <w:szCs w:val="20"/>
        </w:rPr>
        <w:t xml:space="preserve"> as the city.  </w:t>
      </w:r>
      <w:r w:rsidR="003B1291" w:rsidRPr="003B1291">
        <w:rPr>
          <w:rFonts w:ascii="Arial" w:hAnsi="Arial" w:cs="Arial"/>
          <w:szCs w:val="20"/>
        </w:rPr>
        <w:t>The content source of these uploads is “</w:t>
      </w:r>
      <w:r w:rsidR="003B1291">
        <w:rPr>
          <w:rFonts w:ascii="Arial" w:hAnsi="Arial" w:cs="Arial"/>
          <w:szCs w:val="20"/>
        </w:rPr>
        <w:t>VA.gov</w:t>
      </w:r>
      <w:r w:rsidR="003B1291" w:rsidRPr="003B1291">
        <w:rPr>
          <w:rFonts w:ascii="Arial" w:hAnsi="Arial" w:cs="Arial"/>
          <w:szCs w:val="20"/>
        </w:rPr>
        <w:t xml:space="preserve">” and </w:t>
      </w:r>
      <w:r w:rsidR="00394E6A">
        <w:rPr>
          <w:rFonts w:ascii="Arial" w:hAnsi="Arial" w:cs="Arial"/>
          <w:szCs w:val="20"/>
        </w:rPr>
        <w:t xml:space="preserve">the </w:t>
      </w:r>
      <w:r w:rsidR="003B1291" w:rsidRPr="003B1291">
        <w:rPr>
          <w:rFonts w:ascii="Arial" w:hAnsi="Arial" w:cs="Arial"/>
          <w:szCs w:val="20"/>
        </w:rPr>
        <w:t>system source is “</w:t>
      </w:r>
      <w:r w:rsidR="003B1291">
        <w:rPr>
          <w:rFonts w:ascii="Arial" w:hAnsi="Arial" w:cs="Arial"/>
          <w:szCs w:val="20"/>
        </w:rPr>
        <w:t>EVSS</w:t>
      </w:r>
      <w:r w:rsidR="003B1291" w:rsidRPr="003B1291">
        <w:rPr>
          <w:rFonts w:ascii="Arial" w:hAnsi="Arial" w:cs="Arial"/>
          <w:szCs w:val="20"/>
        </w:rPr>
        <w:t xml:space="preserve">.”  </w:t>
      </w:r>
    </w:p>
    <w:p w14:paraId="42B83FFC" w14:textId="77777777" w:rsidR="003B1291" w:rsidRDefault="003B1291" w:rsidP="003B1291">
      <w:pPr>
        <w:rPr>
          <w:rFonts w:ascii="Arial" w:hAnsi="Arial" w:cs="Arial"/>
          <w:szCs w:val="20"/>
        </w:rPr>
      </w:pPr>
    </w:p>
    <w:p w14:paraId="23C5CF4F" w14:textId="49044792" w:rsidR="00313345" w:rsidRDefault="0004463B" w:rsidP="003B1291">
      <w:pPr>
        <w:rPr>
          <w:rFonts w:ascii="Arial" w:hAnsi="Arial" w:cs="Arial"/>
          <w:szCs w:val="20"/>
        </w:rPr>
      </w:pPr>
      <w:r w:rsidRPr="0004463B">
        <w:rPr>
          <w:rFonts w:ascii="Arial" w:hAnsi="Arial" w:cs="Arial"/>
          <w:szCs w:val="20"/>
        </w:rPr>
        <w:t xml:space="preserve">After discussing the issue with Office of Business Integration (OBI) and the Board of Veterans Appeals (BVA), </w:t>
      </w:r>
      <w:r>
        <w:rPr>
          <w:rFonts w:ascii="Arial" w:hAnsi="Arial" w:cs="Arial"/>
          <w:szCs w:val="20"/>
        </w:rPr>
        <w:t>i</w:t>
      </w:r>
      <w:r w:rsidR="003B1291" w:rsidRPr="003B1291">
        <w:rPr>
          <w:rFonts w:ascii="Arial" w:hAnsi="Arial" w:cs="Arial"/>
          <w:szCs w:val="20"/>
        </w:rPr>
        <w:t>t is unclear how APO or DPO populate</w:t>
      </w:r>
      <w:r>
        <w:rPr>
          <w:rFonts w:ascii="Arial" w:hAnsi="Arial" w:cs="Arial"/>
          <w:szCs w:val="20"/>
        </w:rPr>
        <w:t>s</w:t>
      </w:r>
      <w:r w:rsidR="003B1291" w:rsidRPr="003B1291">
        <w:rPr>
          <w:rFonts w:ascii="Arial" w:hAnsi="Arial" w:cs="Arial"/>
          <w:szCs w:val="20"/>
        </w:rPr>
        <w:t xml:space="preserve"> on VA Form</w:t>
      </w:r>
      <w:r w:rsidR="003B1291">
        <w:rPr>
          <w:rFonts w:ascii="Arial" w:hAnsi="Arial" w:cs="Arial"/>
          <w:szCs w:val="20"/>
        </w:rPr>
        <w:t>s</w:t>
      </w:r>
      <w:r w:rsidR="003B1291" w:rsidRPr="003B1291">
        <w:rPr>
          <w:rFonts w:ascii="Arial" w:hAnsi="Arial" w:cs="Arial"/>
          <w:szCs w:val="20"/>
        </w:rPr>
        <w:t xml:space="preserve"> 21-686c</w:t>
      </w:r>
      <w:r w:rsidR="003B1291">
        <w:rPr>
          <w:rFonts w:ascii="Arial" w:hAnsi="Arial" w:cs="Arial"/>
          <w:szCs w:val="20"/>
        </w:rPr>
        <w:t xml:space="preserve"> and 21-526EZ</w:t>
      </w:r>
      <w:r w:rsidR="003B1291" w:rsidRPr="003B1291">
        <w:rPr>
          <w:rFonts w:ascii="Arial" w:hAnsi="Arial" w:cs="Arial"/>
          <w:szCs w:val="20"/>
        </w:rPr>
        <w:t xml:space="preserve">. </w:t>
      </w:r>
      <w:r>
        <w:rPr>
          <w:rFonts w:ascii="Arial" w:hAnsi="Arial" w:cs="Arial"/>
          <w:szCs w:val="20"/>
        </w:rPr>
        <w:t xml:space="preserve">It is even more unclear how it populates for VA Form 21-674 </w:t>
      </w:r>
      <w:r w:rsidR="00394E6A">
        <w:rPr>
          <w:rFonts w:ascii="Arial" w:hAnsi="Arial" w:cs="Arial"/>
          <w:szCs w:val="20"/>
        </w:rPr>
        <w:t>since there is</w:t>
      </w:r>
      <w:r>
        <w:rPr>
          <w:rFonts w:ascii="Arial" w:hAnsi="Arial" w:cs="Arial"/>
          <w:szCs w:val="20"/>
        </w:rPr>
        <w:t xml:space="preserve"> no indication </w:t>
      </w:r>
      <w:r w:rsidR="00313345">
        <w:rPr>
          <w:rFonts w:ascii="Arial" w:hAnsi="Arial" w:cs="Arial"/>
          <w:szCs w:val="20"/>
        </w:rPr>
        <w:t>of APO, DPO, or FPO listed on the form.</w:t>
      </w:r>
    </w:p>
    <w:p w14:paraId="2CACCA34" w14:textId="77777777" w:rsidR="00313345" w:rsidRDefault="00313345" w:rsidP="003B1291">
      <w:pPr>
        <w:rPr>
          <w:rFonts w:ascii="Arial" w:hAnsi="Arial" w:cs="Arial"/>
          <w:szCs w:val="20"/>
        </w:rPr>
      </w:pPr>
    </w:p>
    <w:p w14:paraId="0EB6B3C8" w14:textId="2D9ABE00" w:rsidR="003B1291" w:rsidRPr="003B1291" w:rsidRDefault="00313345" w:rsidP="003B129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It should be noted that there is no trend on whether a specific city, state, or zip code is resulting in the erroneous application of APO, DPO, or FPO.  </w:t>
      </w:r>
      <w:r w:rsidR="003B1291" w:rsidRPr="003B1291">
        <w:rPr>
          <w:rFonts w:ascii="Arial" w:hAnsi="Arial" w:cs="Arial"/>
          <w:szCs w:val="20"/>
        </w:rPr>
        <w:t xml:space="preserve"> </w:t>
      </w:r>
    </w:p>
    <w:p w14:paraId="3D117170" w14:textId="77777777" w:rsidR="004A132E" w:rsidRDefault="004A132E" w:rsidP="000270A2">
      <w:pPr>
        <w:rPr>
          <w:rFonts w:ascii="Arial" w:hAnsi="Arial" w:cs="Arial"/>
          <w:szCs w:val="20"/>
        </w:rPr>
      </w:pPr>
    </w:p>
    <w:p w14:paraId="427482D2" w14:textId="37EF2A76" w:rsidR="00313345" w:rsidRPr="00313345" w:rsidRDefault="003B1291" w:rsidP="00313345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While all 56 regional offices, including Pittsburgh, are capable of processing claims </w:t>
      </w:r>
      <w:r w:rsidR="00023A70">
        <w:rPr>
          <w:rFonts w:ascii="Arial" w:hAnsi="Arial" w:cs="Arial"/>
          <w:szCs w:val="20"/>
        </w:rPr>
        <w:t>of Veterans residing in the United States, only Pittsburgh is capable of processing claims of Veterans residing outside of the United States.  C</w:t>
      </w:r>
      <w:r w:rsidR="00023A70" w:rsidRPr="00023A70">
        <w:rPr>
          <w:rFonts w:ascii="Arial" w:hAnsi="Arial" w:cs="Arial"/>
          <w:szCs w:val="20"/>
        </w:rPr>
        <w:t>laimant</w:t>
      </w:r>
      <w:r w:rsidR="00023A70">
        <w:rPr>
          <w:rFonts w:ascii="Arial" w:hAnsi="Arial" w:cs="Arial"/>
          <w:szCs w:val="20"/>
        </w:rPr>
        <w:t xml:space="preserve">s that do not </w:t>
      </w:r>
      <w:r w:rsidR="00313345">
        <w:rPr>
          <w:rFonts w:ascii="Arial" w:hAnsi="Arial" w:cs="Arial"/>
          <w:szCs w:val="20"/>
        </w:rPr>
        <w:t xml:space="preserve">reside </w:t>
      </w:r>
      <w:r w:rsidR="00023A70">
        <w:rPr>
          <w:rFonts w:ascii="Arial" w:hAnsi="Arial" w:cs="Arial"/>
          <w:szCs w:val="20"/>
        </w:rPr>
        <w:t>outside of</w:t>
      </w:r>
      <w:r w:rsidR="00023A70" w:rsidRPr="00023A70">
        <w:rPr>
          <w:rFonts w:ascii="Arial" w:hAnsi="Arial" w:cs="Arial"/>
          <w:szCs w:val="20"/>
        </w:rPr>
        <w:t xml:space="preserve"> the United States</w:t>
      </w:r>
      <w:r w:rsidR="00023A70">
        <w:rPr>
          <w:rFonts w:ascii="Arial" w:hAnsi="Arial" w:cs="Arial"/>
          <w:szCs w:val="20"/>
        </w:rPr>
        <w:t xml:space="preserve"> </w:t>
      </w:r>
      <w:r w:rsidR="00313345">
        <w:rPr>
          <w:rFonts w:ascii="Arial" w:hAnsi="Arial" w:cs="Arial"/>
          <w:szCs w:val="20"/>
        </w:rPr>
        <w:t xml:space="preserve">but </w:t>
      </w:r>
      <w:r w:rsidR="00023A70">
        <w:rPr>
          <w:rFonts w:ascii="Arial" w:hAnsi="Arial" w:cs="Arial"/>
          <w:szCs w:val="20"/>
        </w:rPr>
        <w:t>are distributed as part of the foreign workload</w:t>
      </w:r>
      <w:r w:rsidR="00313345">
        <w:rPr>
          <w:rFonts w:ascii="Arial" w:hAnsi="Arial" w:cs="Arial"/>
          <w:szCs w:val="20"/>
        </w:rPr>
        <w:t xml:space="preserve"> causes </w:t>
      </w:r>
      <w:r w:rsidR="00313345" w:rsidRPr="00313345">
        <w:rPr>
          <w:rFonts w:ascii="Arial" w:hAnsi="Arial" w:cs="Arial"/>
          <w:szCs w:val="20"/>
        </w:rPr>
        <w:t xml:space="preserve">avoidable delay(s) to the resolution and promulgation of claims, both domestic and foreign.  </w:t>
      </w:r>
    </w:p>
    <w:p w14:paraId="1439ED45" w14:textId="450FA52E" w:rsidR="004A132E" w:rsidRDefault="004A132E" w:rsidP="000270A2">
      <w:pPr>
        <w:rPr>
          <w:rFonts w:ascii="Arial" w:hAnsi="Arial" w:cs="Arial"/>
          <w:szCs w:val="20"/>
        </w:rPr>
      </w:pPr>
    </w:p>
    <w:p w14:paraId="6A706568" w14:textId="58EBCADE" w:rsidR="006B38FC" w:rsidRPr="00E0735C" w:rsidRDefault="0099697D" w:rsidP="00E0735C">
      <w:pPr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ACTION ITEM</w:t>
      </w:r>
      <w:r w:rsidR="00EE286A">
        <w:rPr>
          <w:rFonts w:ascii="Arial" w:hAnsi="Arial" w:cs="Arial"/>
          <w:b/>
          <w:bCs/>
          <w:szCs w:val="20"/>
        </w:rPr>
        <w:t>S</w:t>
      </w:r>
      <w:r w:rsidR="006B38FC" w:rsidRPr="00E0735C">
        <w:rPr>
          <w:rFonts w:ascii="Arial" w:hAnsi="Arial" w:cs="Arial"/>
          <w:b/>
          <w:bCs/>
          <w:szCs w:val="20"/>
        </w:rPr>
        <w:t>:</w:t>
      </w:r>
    </w:p>
    <w:p w14:paraId="2B3FA145" w14:textId="77777777" w:rsidR="006B38FC" w:rsidRPr="001D76CF" w:rsidRDefault="006B38FC" w:rsidP="006B38FC">
      <w:pPr>
        <w:pStyle w:val="ListParagraph"/>
        <w:rPr>
          <w:rFonts w:ascii="Arial" w:hAnsi="Arial" w:cs="Arial"/>
          <w:szCs w:val="20"/>
        </w:rPr>
      </w:pPr>
    </w:p>
    <w:p w14:paraId="4DCD7C0C" w14:textId="0511B485" w:rsidR="0018162D" w:rsidRDefault="00023A70" w:rsidP="003B3C2B">
      <w:pPr>
        <w:pStyle w:val="ListParagraph"/>
        <w:numPr>
          <w:ilvl w:val="0"/>
          <w:numId w:val="25"/>
        </w:numPr>
        <w:rPr>
          <w:rFonts w:ascii="Arial" w:hAnsi="Arial" w:cs="Arial"/>
          <w:szCs w:val="20"/>
        </w:rPr>
      </w:pPr>
      <w:r w:rsidRPr="003B3C2B">
        <w:rPr>
          <w:rFonts w:ascii="Arial" w:hAnsi="Arial" w:cs="Arial"/>
          <w:szCs w:val="20"/>
        </w:rPr>
        <w:t xml:space="preserve">After discussing the issue with </w:t>
      </w:r>
      <w:r w:rsidR="006E55A7" w:rsidRPr="003B3C2B">
        <w:rPr>
          <w:rFonts w:ascii="Arial" w:hAnsi="Arial" w:cs="Arial"/>
          <w:szCs w:val="20"/>
        </w:rPr>
        <w:t xml:space="preserve">OBI </w:t>
      </w:r>
      <w:r w:rsidRPr="003B3C2B">
        <w:rPr>
          <w:rFonts w:ascii="Arial" w:hAnsi="Arial" w:cs="Arial"/>
          <w:szCs w:val="20"/>
        </w:rPr>
        <w:t xml:space="preserve">and </w:t>
      </w:r>
      <w:r w:rsidR="006E55A7" w:rsidRPr="003B3C2B">
        <w:rPr>
          <w:rFonts w:ascii="Arial" w:hAnsi="Arial" w:cs="Arial"/>
          <w:szCs w:val="20"/>
        </w:rPr>
        <w:t xml:space="preserve">BVA, it was collectively decided that OIT be contacted to further investigate </w:t>
      </w:r>
      <w:r w:rsidR="00313345" w:rsidRPr="003B3C2B">
        <w:rPr>
          <w:rFonts w:ascii="Arial" w:hAnsi="Arial" w:cs="Arial"/>
          <w:szCs w:val="20"/>
        </w:rPr>
        <w:t xml:space="preserve">the root cause of the conflicting addresses </w:t>
      </w:r>
      <w:r w:rsidR="006E55A7" w:rsidRPr="003B3C2B">
        <w:rPr>
          <w:rFonts w:ascii="Arial" w:hAnsi="Arial" w:cs="Arial"/>
          <w:szCs w:val="20"/>
        </w:rPr>
        <w:t xml:space="preserve">and resolve the issue.  </w:t>
      </w:r>
    </w:p>
    <w:p w14:paraId="13470725" w14:textId="2FE0725D" w:rsidR="003B3C2B" w:rsidRPr="003B3C2B" w:rsidRDefault="003B3C2B" w:rsidP="003B3C2B">
      <w:pPr>
        <w:pStyle w:val="ListParagraph"/>
        <w:numPr>
          <w:ilvl w:val="0"/>
          <w:numId w:val="25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Until system resolution, Pittsburgh RO will continue to investigate and correct conflicting addresses as they are received.  They will also maintain a tracked list of all conflicting addresses received.  </w:t>
      </w:r>
    </w:p>
    <w:p w14:paraId="6D445218" w14:textId="710E4625" w:rsidR="006B3E46" w:rsidRDefault="006B3E46" w:rsidP="00E0735C">
      <w:pPr>
        <w:rPr>
          <w:rFonts w:ascii="Arial" w:hAnsi="Arial" w:cs="Arial"/>
          <w:szCs w:val="20"/>
        </w:rPr>
      </w:pPr>
    </w:p>
    <w:p w14:paraId="1F50F927" w14:textId="77777777" w:rsidR="00FF6B44" w:rsidRPr="00FF6B44" w:rsidRDefault="00FF6B44" w:rsidP="00FF6B44">
      <w:pPr>
        <w:pStyle w:val="ListParagraph"/>
        <w:rPr>
          <w:rFonts w:ascii="Arial" w:hAnsi="Arial" w:cs="Arial"/>
          <w:szCs w:val="20"/>
        </w:rPr>
      </w:pPr>
    </w:p>
    <w:p w14:paraId="7C1C5CC3" w14:textId="6B13A7DA" w:rsidR="00FF6B44" w:rsidRDefault="00FF6B44" w:rsidP="00E0735C">
      <w:pPr>
        <w:rPr>
          <w:rFonts w:ascii="Arial" w:hAnsi="Arial" w:cs="Arial"/>
        </w:rPr>
      </w:pPr>
    </w:p>
    <w:p w14:paraId="696911A8" w14:textId="77777777" w:rsidR="0018162D" w:rsidRDefault="0018162D" w:rsidP="00E0735C">
      <w:pPr>
        <w:rPr>
          <w:rFonts w:ascii="Arial" w:hAnsi="Arial" w:cs="Arial"/>
        </w:rPr>
      </w:pPr>
    </w:p>
    <w:p w14:paraId="01406119" w14:textId="77777777" w:rsidR="000631D7" w:rsidRDefault="000631D7" w:rsidP="000631D7">
      <w:pPr>
        <w:pStyle w:val="Default"/>
        <w:ind w:left="360"/>
        <w:jc w:val="center"/>
        <w:rPr>
          <w:color w:val="auto"/>
        </w:rPr>
      </w:pPr>
    </w:p>
    <w:p w14:paraId="1DD9B99A" w14:textId="77777777" w:rsidR="000631D7" w:rsidRDefault="000631D7" w:rsidP="000631D7">
      <w:pPr>
        <w:pStyle w:val="Default"/>
        <w:ind w:left="360"/>
        <w:jc w:val="center"/>
        <w:rPr>
          <w:color w:val="auto"/>
        </w:rPr>
      </w:pPr>
    </w:p>
    <w:sectPr w:rsidR="000631D7" w:rsidSect="004B1739">
      <w:headerReference w:type="default" r:id="rId14"/>
      <w:footerReference w:type="default" r:id="rId15"/>
      <w:footerReference w:type="first" r:id="rId16"/>
      <w:pgSz w:w="12960" w:h="17083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6BCE7" w14:textId="77777777" w:rsidR="008B16D2" w:rsidRDefault="008B16D2" w:rsidP="005A76BB">
      <w:r>
        <w:separator/>
      </w:r>
    </w:p>
  </w:endnote>
  <w:endnote w:type="continuationSeparator" w:id="0">
    <w:p w14:paraId="162A75AA" w14:textId="77777777" w:rsidR="008B16D2" w:rsidRDefault="008B16D2" w:rsidP="005A7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1737612608"/>
      <w:docPartObj>
        <w:docPartGallery w:val="Page Numbers (Bottom of Page)"/>
        <w:docPartUnique/>
      </w:docPartObj>
    </w:sdtPr>
    <w:sdtEndPr/>
    <w:sdtContent>
      <w:p w14:paraId="2882A727" w14:textId="146044AF" w:rsidR="000270A2" w:rsidRPr="000270A2" w:rsidRDefault="000270A2">
        <w:pPr>
          <w:pStyle w:val="Footer"/>
          <w:jc w:val="right"/>
          <w:rPr>
            <w:rFonts w:ascii="Arial" w:hAnsi="Arial" w:cs="Arial"/>
          </w:rPr>
        </w:pPr>
        <w:r w:rsidRPr="000270A2">
          <w:rPr>
            <w:rFonts w:ascii="Arial" w:hAnsi="Arial" w:cs="Arial"/>
          </w:rPr>
          <w:t xml:space="preserve">Page | </w:t>
        </w:r>
        <w:r w:rsidRPr="000270A2">
          <w:rPr>
            <w:rFonts w:ascii="Arial" w:hAnsi="Arial" w:cs="Arial"/>
          </w:rPr>
          <w:fldChar w:fldCharType="begin"/>
        </w:r>
        <w:r w:rsidRPr="000270A2">
          <w:rPr>
            <w:rFonts w:ascii="Arial" w:hAnsi="Arial" w:cs="Arial"/>
          </w:rPr>
          <w:instrText xml:space="preserve"> PAGE   \* MERGEFORMAT </w:instrText>
        </w:r>
        <w:r w:rsidRPr="000270A2">
          <w:rPr>
            <w:rFonts w:ascii="Arial" w:hAnsi="Arial" w:cs="Arial"/>
          </w:rPr>
          <w:fldChar w:fldCharType="separate"/>
        </w:r>
        <w:r w:rsidRPr="000270A2">
          <w:rPr>
            <w:rFonts w:ascii="Arial" w:hAnsi="Arial" w:cs="Arial"/>
            <w:noProof/>
          </w:rPr>
          <w:t>2</w:t>
        </w:r>
        <w:r w:rsidRPr="000270A2">
          <w:rPr>
            <w:rFonts w:ascii="Arial" w:hAnsi="Arial" w:cs="Arial"/>
            <w:noProof/>
          </w:rPr>
          <w:fldChar w:fldCharType="end"/>
        </w:r>
        <w:r w:rsidRPr="000270A2">
          <w:rPr>
            <w:rFonts w:ascii="Arial" w:hAnsi="Arial" w:cs="Arial"/>
          </w:rPr>
          <w:t xml:space="preserve"> </w:t>
        </w:r>
      </w:p>
    </w:sdtContent>
  </w:sdt>
  <w:p w14:paraId="550E1753" w14:textId="77777777" w:rsidR="004B1739" w:rsidRDefault="004B17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8721577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772AB08" w14:textId="6C1F26E0" w:rsidR="004B1739" w:rsidRDefault="004B1739">
        <w:pPr>
          <w:pStyle w:val="Footer"/>
          <w:jc w:val="right"/>
        </w:pPr>
        <w:r w:rsidRPr="004B1739">
          <w:rPr>
            <w:rFonts w:ascii="Arial" w:hAnsi="Arial" w:cs="Arial"/>
          </w:rPr>
          <w:t xml:space="preserve">Page | </w:t>
        </w:r>
        <w:r w:rsidRPr="004B1739">
          <w:rPr>
            <w:rFonts w:ascii="Arial" w:hAnsi="Arial" w:cs="Arial"/>
          </w:rPr>
          <w:fldChar w:fldCharType="begin"/>
        </w:r>
        <w:r w:rsidRPr="004B1739">
          <w:rPr>
            <w:rFonts w:ascii="Arial" w:hAnsi="Arial" w:cs="Arial"/>
          </w:rPr>
          <w:instrText xml:space="preserve"> PAGE   \* MERGEFORMAT </w:instrText>
        </w:r>
        <w:r w:rsidRPr="004B1739">
          <w:rPr>
            <w:rFonts w:ascii="Arial" w:hAnsi="Arial" w:cs="Arial"/>
          </w:rPr>
          <w:fldChar w:fldCharType="separate"/>
        </w:r>
        <w:r w:rsidRPr="004B1739">
          <w:rPr>
            <w:rFonts w:ascii="Arial" w:hAnsi="Arial" w:cs="Arial"/>
            <w:noProof/>
          </w:rPr>
          <w:t>2</w:t>
        </w:r>
        <w:r w:rsidRPr="004B1739">
          <w:rPr>
            <w:rFonts w:ascii="Arial" w:hAnsi="Arial" w:cs="Arial"/>
            <w:noProof/>
          </w:rPr>
          <w:fldChar w:fldCharType="end"/>
        </w:r>
        <w:r>
          <w:t xml:space="preserve"> </w:t>
        </w:r>
      </w:p>
    </w:sdtContent>
  </w:sdt>
  <w:p w14:paraId="2B96E8EE" w14:textId="77777777" w:rsidR="004B1739" w:rsidRDefault="004B1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76AC8" w14:textId="77777777" w:rsidR="008B16D2" w:rsidRDefault="008B16D2" w:rsidP="005A76BB">
      <w:r>
        <w:separator/>
      </w:r>
    </w:p>
  </w:footnote>
  <w:footnote w:type="continuationSeparator" w:id="0">
    <w:p w14:paraId="42938637" w14:textId="77777777" w:rsidR="008B16D2" w:rsidRDefault="008B16D2" w:rsidP="005A7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3ABC9" w14:textId="5C69EC98" w:rsidR="00457C53" w:rsidRDefault="00457C53" w:rsidP="00457C53">
    <w:pPr>
      <w:rPr>
        <w:rFonts w:ascii="Arial" w:hAnsi="Arial" w:cs="Arial"/>
        <w:szCs w:val="20"/>
      </w:rPr>
    </w:pPr>
  </w:p>
  <w:p w14:paraId="5330335B" w14:textId="77777777" w:rsidR="00C82D97" w:rsidRDefault="00C82D97">
    <w:pPr>
      <w:pStyle w:val="Header"/>
    </w:pPr>
  </w:p>
  <w:p w14:paraId="7B2EF8F4" w14:textId="77777777" w:rsidR="00C82D97" w:rsidRDefault="00C82D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FBF"/>
    <w:multiLevelType w:val="hybridMultilevel"/>
    <w:tmpl w:val="E490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07F2F"/>
    <w:multiLevelType w:val="hybridMultilevel"/>
    <w:tmpl w:val="01F0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C00D4"/>
    <w:multiLevelType w:val="hybridMultilevel"/>
    <w:tmpl w:val="F57A02DE"/>
    <w:lvl w:ilvl="0" w:tplc="04090017">
      <w:start w:val="1"/>
      <w:numFmt w:val="lowerLetter"/>
      <w:lvlText w:val="%1)"/>
      <w:lvlJc w:val="left"/>
      <w:pPr>
        <w:ind w:left="1449" w:hanging="360"/>
      </w:pPr>
    </w:lvl>
    <w:lvl w:ilvl="1" w:tplc="04090019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3" w15:restartNumberingAfterBreak="0">
    <w:nsid w:val="084E3A97"/>
    <w:multiLevelType w:val="hybridMultilevel"/>
    <w:tmpl w:val="E688A532"/>
    <w:lvl w:ilvl="0" w:tplc="3FE252C0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0D425C6C"/>
    <w:multiLevelType w:val="hybridMultilevel"/>
    <w:tmpl w:val="061CB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3471E8"/>
    <w:multiLevelType w:val="hybridMultilevel"/>
    <w:tmpl w:val="D8328A98"/>
    <w:lvl w:ilvl="0" w:tplc="2036366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D114A85"/>
    <w:multiLevelType w:val="hybridMultilevel"/>
    <w:tmpl w:val="8C36747C"/>
    <w:lvl w:ilvl="0" w:tplc="3BBE6E7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C32972"/>
    <w:multiLevelType w:val="hybridMultilevel"/>
    <w:tmpl w:val="8EA24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5E1E7B"/>
    <w:multiLevelType w:val="hybridMultilevel"/>
    <w:tmpl w:val="F60E1330"/>
    <w:lvl w:ilvl="0" w:tplc="6D12ECD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8E1EA814">
      <w:start w:val="1"/>
      <w:numFmt w:val="lowerRoman"/>
      <w:lvlText w:val="%2."/>
      <w:lvlJc w:val="left"/>
      <w:pPr>
        <w:ind w:left="288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296145D"/>
    <w:multiLevelType w:val="hybridMultilevel"/>
    <w:tmpl w:val="EF72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B61CF"/>
    <w:multiLevelType w:val="hybridMultilevel"/>
    <w:tmpl w:val="3AD42FA2"/>
    <w:lvl w:ilvl="0" w:tplc="E328FE4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53377"/>
    <w:multiLevelType w:val="hybridMultilevel"/>
    <w:tmpl w:val="3FCE1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75DBE"/>
    <w:multiLevelType w:val="hybridMultilevel"/>
    <w:tmpl w:val="E688A532"/>
    <w:lvl w:ilvl="0" w:tplc="3FE252C0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44616EA4"/>
    <w:multiLevelType w:val="hybridMultilevel"/>
    <w:tmpl w:val="E620E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661"/>
    <w:multiLevelType w:val="hybridMultilevel"/>
    <w:tmpl w:val="EB248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69086A"/>
    <w:multiLevelType w:val="hybridMultilevel"/>
    <w:tmpl w:val="1450847E"/>
    <w:lvl w:ilvl="0" w:tplc="BB6C9F5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2C32C5D"/>
    <w:multiLevelType w:val="hybridMultilevel"/>
    <w:tmpl w:val="21AE6384"/>
    <w:lvl w:ilvl="0" w:tplc="DEF2AE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9C73BE"/>
    <w:multiLevelType w:val="hybridMultilevel"/>
    <w:tmpl w:val="12C43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3F7F63"/>
    <w:multiLevelType w:val="hybridMultilevel"/>
    <w:tmpl w:val="6192A03C"/>
    <w:lvl w:ilvl="0" w:tplc="F44E1F5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8861046"/>
    <w:multiLevelType w:val="hybridMultilevel"/>
    <w:tmpl w:val="18DE7686"/>
    <w:lvl w:ilvl="0" w:tplc="3E2C76F6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8C328FE"/>
    <w:multiLevelType w:val="hybridMultilevel"/>
    <w:tmpl w:val="C69E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D77A1"/>
    <w:multiLevelType w:val="hybridMultilevel"/>
    <w:tmpl w:val="67D862DC"/>
    <w:lvl w:ilvl="0" w:tplc="E328FE4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F09530C"/>
    <w:multiLevelType w:val="hybridMultilevel"/>
    <w:tmpl w:val="F6D63C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667D4"/>
    <w:multiLevelType w:val="hybridMultilevel"/>
    <w:tmpl w:val="9C9A539E"/>
    <w:lvl w:ilvl="0" w:tplc="AC163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10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22"/>
  </w:num>
  <w:num w:numId="7">
    <w:abstractNumId w:val="5"/>
  </w:num>
  <w:num w:numId="8">
    <w:abstractNumId w:val="21"/>
  </w:num>
  <w:num w:numId="9">
    <w:abstractNumId w:val="10"/>
  </w:num>
  <w:num w:numId="10">
    <w:abstractNumId w:val="24"/>
  </w:num>
  <w:num w:numId="11">
    <w:abstractNumId w:val="18"/>
  </w:num>
  <w:num w:numId="12">
    <w:abstractNumId w:val="15"/>
  </w:num>
  <w:num w:numId="13">
    <w:abstractNumId w:val="3"/>
  </w:num>
  <w:num w:numId="14">
    <w:abstractNumId w:val="13"/>
  </w:num>
  <w:num w:numId="15">
    <w:abstractNumId w:val="12"/>
  </w:num>
  <w:num w:numId="16">
    <w:abstractNumId w:val="2"/>
  </w:num>
  <w:num w:numId="17">
    <w:abstractNumId w:val="20"/>
  </w:num>
  <w:num w:numId="18">
    <w:abstractNumId w:val="23"/>
  </w:num>
  <w:num w:numId="19">
    <w:abstractNumId w:val="1"/>
  </w:num>
  <w:num w:numId="20">
    <w:abstractNumId w:val="19"/>
  </w:num>
  <w:num w:numId="21">
    <w:abstractNumId w:val="8"/>
  </w:num>
  <w:num w:numId="22">
    <w:abstractNumId w:val="16"/>
  </w:num>
  <w:num w:numId="23">
    <w:abstractNumId w:val="9"/>
  </w:num>
  <w:num w:numId="24">
    <w:abstractNumId w:val="1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4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CF"/>
    <w:rsid w:val="00000D1B"/>
    <w:rsid w:val="00003714"/>
    <w:rsid w:val="000136F6"/>
    <w:rsid w:val="00013B6D"/>
    <w:rsid w:val="00023A70"/>
    <w:rsid w:val="00024082"/>
    <w:rsid w:val="000270A2"/>
    <w:rsid w:val="0004463B"/>
    <w:rsid w:val="00061A58"/>
    <w:rsid w:val="00062F77"/>
    <w:rsid w:val="000631D7"/>
    <w:rsid w:val="0006699F"/>
    <w:rsid w:val="0007367F"/>
    <w:rsid w:val="0008208B"/>
    <w:rsid w:val="000B78E1"/>
    <w:rsid w:val="000C10C8"/>
    <w:rsid w:val="000D24AF"/>
    <w:rsid w:val="000D59E6"/>
    <w:rsid w:val="000D7420"/>
    <w:rsid w:val="000D7A41"/>
    <w:rsid w:val="000E2E9F"/>
    <w:rsid w:val="000E5ACA"/>
    <w:rsid w:val="000E5F1C"/>
    <w:rsid w:val="000F1D6A"/>
    <w:rsid w:val="000F63C7"/>
    <w:rsid w:val="001020EA"/>
    <w:rsid w:val="00102BB0"/>
    <w:rsid w:val="00102BE7"/>
    <w:rsid w:val="001330BC"/>
    <w:rsid w:val="00135A7B"/>
    <w:rsid w:val="00163493"/>
    <w:rsid w:val="001668DC"/>
    <w:rsid w:val="00166F2F"/>
    <w:rsid w:val="00170804"/>
    <w:rsid w:val="00172E62"/>
    <w:rsid w:val="00174A2A"/>
    <w:rsid w:val="0018162D"/>
    <w:rsid w:val="00187C93"/>
    <w:rsid w:val="001976DF"/>
    <w:rsid w:val="001A0F96"/>
    <w:rsid w:val="001A3FE2"/>
    <w:rsid w:val="001B46BE"/>
    <w:rsid w:val="001B5D4F"/>
    <w:rsid w:val="001D53C8"/>
    <w:rsid w:val="001D5C2D"/>
    <w:rsid w:val="001D76CF"/>
    <w:rsid w:val="001E7B41"/>
    <w:rsid w:val="001F420A"/>
    <w:rsid w:val="001F5174"/>
    <w:rsid w:val="00202E0E"/>
    <w:rsid w:val="00216270"/>
    <w:rsid w:val="00216C60"/>
    <w:rsid w:val="002261D2"/>
    <w:rsid w:val="00230795"/>
    <w:rsid w:val="00255CF3"/>
    <w:rsid w:val="002570C7"/>
    <w:rsid w:val="00261711"/>
    <w:rsid w:val="0028210C"/>
    <w:rsid w:val="00285E5E"/>
    <w:rsid w:val="00295A94"/>
    <w:rsid w:val="002A2E97"/>
    <w:rsid w:val="002B63FE"/>
    <w:rsid w:val="002C3EDC"/>
    <w:rsid w:val="002D095E"/>
    <w:rsid w:val="002D74AB"/>
    <w:rsid w:val="002F3DCF"/>
    <w:rsid w:val="002F7D5E"/>
    <w:rsid w:val="003008D6"/>
    <w:rsid w:val="00302A65"/>
    <w:rsid w:val="0030718C"/>
    <w:rsid w:val="00313345"/>
    <w:rsid w:val="00314242"/>
    <w:rsid w:val="00320E23"/>
    <w:rsid w:val="00325761"/>
    <w:rsid w:val="003333F9"/>
    <w:rsid w:val="00340B1A"/>
    <w:rsid w:val="00355B06"/>
    <w:rsid w:val="003571C0"/>
    <w:rsid w:val="00357BD6"/>
    <w:rsid w:val="0037572F"/>
    <w:rsid w:val="0037587B"/>
    <w:rsid w:val="00377CC5"/>
    <w:rsid w:val="00377EAF"/>
    <w:rsid w:val="0038480A"/>
    <w:rsid w:val="00392E9C"/>
    <w:rsid w:val="00394E6A"/>
    <w:rsid w:val="003A27E8"/>
    <w:rsid w:val="003B0C9A"/>
    <w:rsid w:val="003B1291"/>
    <w:rsid w:val="003B3A4C"/>
    <w:rsid w:val="003B3C2B"/>
    <w:rsid w:val="003B56BC"/>
    <w:rsid w:val="003D037D"/>
    <w:rsid w:val="003D7303"/>
    <w:rsid w:val="003D7EFF"/>
    <w:rsid w:val="003E77BA"/>
    <w:rsid w:val="004036B1"/>
    <w:rsid w:val="00413FB4"/>
    <w:rsid w:val="00416D6F"/>
    <w:rsid w:val="00420FE9"/>
    <w:rsid w:val="00423B35"/>
    <w:rsid w:val="00432E21"/>
    <w:rsid w:val="00433978"/>
    <w:rsid w:val="004340B7"/>
    <w:rsid w:val="00435177"/>
    <w:rsid w:val="00445B0F"/>
    <w:rsid w:val="004469E6"/>
    <w:rsid w:val="00450831"/>
    <w:rsid w:val="0045596E"/>
    <w:rsid w:val="00457C53"/>
    <w:rsid w:val="00465EFD"/>
    <w:rsid w:val="0046635E"/>
    <w:rsid w:val="00476538"/>
    <w:rsid w:val="00480A73"/>
    <w:rsid w:val="0049004D"/>
    <w:rsid w:val="00495F51"/>
    <w:rsid w:val="004A132E"/>
    <w:rsid w:val="004A1B9D"/>
    <w:rsid w:val="004A7B50"/>
    <w:rsid w:val="004B1739"/>
    <w:rsid w:val="004B4E47"/>
    <w:rsid w:val="004C1C89"/>
    <w:rsid w:val="004D1675"/>
    <w:rsid w:val="004E32AA"/>
    <w:rsid w:val="0051427E"/>
    <w:rsid w:val="00523316"/>
    <w:rsid w:val="005247D9"/>
    <w:rsid w:val="00530387"/>
    <w:rsid w:val="00534A96"/>
    <w:rsid w:val="00535606"/>
    <w:rsid w:val="00535889"/>
    <w:rsid w:val="00554896"/>
    <w:rsid w:val="00555B62"/>
    <w:rsid w:val="0057165B"/>
    <w:rsid w:val="005722DE"/>
    <w:rsid w:val="00573EF0"/>
    <w:rsid w:val="0058638A"/>
    <w:rsid w:val="005976D6"/>
    <w:rsid w:val="005A01F1"/>
    <w:rsid w:val="005A5330"/>
    <w:rsid w:val="005A647B"/>
    <w:rsid w:val="005A76BB"/>
    <w:rsid w:val="005B40FB"/>
    <w:rsid w:val="005B41B4"/>
    <w:rsid w:val="005C471F"/>
    <w:rsid w:val="005D32D3"/>
    <w:rsid w:val="005E2DD2"/>
    <w:rsid w:val="00601001"/>
    <w:rsid w:val="006075DE"/>
    <w:rsid w:val="006330DE"/>
    <w:rsid w:val="006411C0"/>
    <w:rsid w:val="006418FD"/>
    <w:rsid w:val="00650C61"/>
    <w:rsid w:val="00651F5A"/>
    <w:rsid w:val="0065345F"/>
    <w:rsid w:val="00654D26"/>
    <w:rsid w:val="00655632"/>
    <w:rsid w:val="00663E5F"/>
    <w:rsid w:val="00665579"/>
    <w:rsid w:val="00690482"/>
    <w:rsid w:val="0069242C"/>
    <w:rsid w:val="00696522"/>
    <w:rsid w:val="006B033D"/>
    <w:rsid w:val="006B2B72"/>
    <w:rsid w:val="006B38FC"/>
    <w:rsid w:val="006B3E46"/>
    <w:rsid w:val="006B73B7"/>
    <w:rsid w:val="006C4BE8"/>
    <w:rsid w:val="006C519D"/>
    <w:rsid w:val="006C5C2D"/>
    <w:rsid w:val="006D02BA"/>
    <w:rsid w:val="006D054D"/>
    <w:rsid w:val="006D3BC2"/>
    <w:rsid w:val="006E18C4"/>
    <w:rsid w:val="006E23F6"/>
    <w:rsid w:val="006E55A7"/>
    <w:rsid w:val="006E5D0A"/>
    <w:rsid w:val="006E608D"/>
    <w:rsid w:val="00700D23"/>
    <w:rsid w:val="00707F54"/>
    <w:rsid w:val="007145BD"/>
    <w:rsid w:val="00714B30"/>
    <w:rsid w:val="0071591C"/>
    <w:rsid w:val="00717A16"/>
    <w:rsid w:val="007230AE"/>
    <w:rsid w:val="007264F6"/>
    <w:rsid w:val="007439D4"/>
    <w:rsid w:val="007531C0"/>
    <w:rsid w:val="00753763"/>
    <w:rsid w:val="007657D6"/>
    <w:rsid w:val="007668AB"/>
    <w:rsid w:val="00772D8E"/>
    <w:rsid w:val="0077781F"/>
    <w:rsid w:val="00785C47"/>
    <w:rsid w:val="00793B74"/>
    <w:rsid w:val="00797B8A"/>
    <w:rsid w:val="007A0846"/>
    <w:rsid w:val="007B23C4"/>
    <w:rsid w:val="007B593C"/>
    <w:rsid w:val="007D1CB3"/>
    <w:rsid w:val="007D26D2"/>
    <w:rsid w:val="007E486B"/>
    <w:rsid w:val="007F39D2"/>
    <w:rsid w:val="008000D0"/>
    <w:rsid w:val="008010C3"/>
    <w:rsid w:val="00801B3E"/>
    <w:rsid w:val="00804D21"/>
    <w:rsid w:val="00807113"/>
    <w:rsid w:val="008074F8"/>
    <w:rsid w:val="00813739"/>
    <w:rsid w:val="0082102F"/>
    <w:rsid w:val="008231C4"/>
    <w:rsid w:val="00844B5B"/>
    <w:rsid w:val="00845178"/>
    <w:rsid w:val="00846B37"/>
    <w:rsid w:val="00846D2C"/>
    <w:rsid w:val="008549A1"/>
    <w:rsid w:val="00864B88"/>
    <w:rsid w:val="0086553D"/>
    <w:rsid w:val="00865B84"/>
    <w:rsid w:val="0087210E"/>
    <w:rsid w:val="00873DFC"/>
    <w:rsid w:val="00876B95"/>
    <w:rsid w:val="008776DC"/>
    <w:rsid w:val="00880097"/>
    <w:rsid w:val="0089754B"/>
    <w:rsid w:val="008A2424"/>
    <w:rsid w:val="008B0663"/>
    <w:rsid w:val="008B16D2"/>
    <w:rsid w:val="008B67EA"/>
    <w:rsid w:val="008C48D5"/>
    <w:rsid w:val="008D43A8"/>
    <w:rsid w:val="008F0A61"/>
    <w:rsid w:val="008F2D3F"/>
    <w:rsid w:val="008F37FE"/>
    <w:rsid w:val="009056D8"/>
    <w:rsid w:val="00915A22"/>
    <w:rsid w:val="00930560"/>
    <w:rsid w:val="00940A54"/>
    <w:rsid w:val="00954B26"/>
    <w:rsid w:val="00962882"/>
    <w:rsid w:val="009724D4"/>
    <w:rsid w:val="009735DD"/>
    <w:rsid w:val="0097512E"/>
    <w:rsid w:val="00993411"/>
    <w:rsid w:val="0099697D"/>
    <w:rsid w:val="0099756B"/>
    <w:rsid w:val="009976F2"/>
    <w:rsid w:val="009A55E1"/>
    <w:rsid w:val="009A7757"/>
    <w:rsid w:val="009B0D8A"/>
    <w:rsid w:val="009B3C38"/>
    <w:rsid w:val="009B4FAF"/>
    <w:rsid w:val="009D1AFE"/>
    <w:rsid w:val="009D5E76"/>
    <w:rsid w:val="009E02A5"/>
    <w:rsid w:val="009E554C"/>
    <w:rsid w:val="009E6194"/>
    <w:rsid w:val="009F39CF"/>
    <w:rsid w:val="00A05987"/>
    <w:rsid w:val="00A0614E"/>
    <w:rsid w:val="00A069FD"/>
    <w:rsid w:val="00A07324"/>
    <w:rsid w:val="00A2040B"/>
    <w:rsid w:val="00A233E7"/>
    <w:rsid w:val="00A277E7"/>
    <w:rsid w:val="00A460FE"/>
    <w:rsid w:val="00A50750"/>
    <w:rsid w:val="00A53C64"/>
    <w:rsid w:val="00A53CD2"/>
    <w:rsid w:val="00A63156"/>
    <w:rsid w:val="00A810C5"/>
    <w:rsid w:val="00A906F5"/>
    <w:rsid w:val="00A91F5C"/>
    <w:rsid w:val="00AB1B38"/>
    <w:rsid w:val="00AB351E"/>
    <w:rsid w:val="00AC4748"/>
    <w:rsid w:val="00AC5BBE"/>
    <w:rsid w:val="00AF1F7F"/>
    <w:rsid w:val="00AF3244"/>
    <w:rsid w:val="00AF620B"/>
    <w:rsid w:val="00B06662"/>
    <w:rsid w:val="00B130DD"/>
    <w:rsid w:val="00B162FD"/>
    <w:rsid w:val="00B16CDF"/>
    <w:rsid w:val="00B24F4C"/>
    <w:rsid w:val="00B342BC"/>
    <w:rsid w:val="00B52562"/>
    <w:rsid w:val="00B60C6D"/>
    <w:rsid w:val="00B63005"/>
    <w:rsid w:val="00B66315"/>
    <w:rsid w:val="00B66DCB"/>
    <w:rsid w:val="00B67631"/>
    <w:rsid w:val="00B85362"/>
    <w:rsid w:val="00B87903"/>
    <w:rsid w:val="00B946E6"/>
    <w:rsid w:val="00B94F0B"/>
    <w:rsid w:val="00BA18C4"/>
    <w:rsid w:val="00BA73D3"/>
    <w:rsid w:val="00BB041F"/>
    <w:rsid w:val="00BB75E7"/>
    <w:rsid w:val="00BC3631"/>
    <w:rsid w:val="00BD1287"/>
    <w:rsid w:val="00BD295A"/>
    <w:rsid w:val="00BD7698"/>
    <w:rsid w:val="00BE3C99"/>
    <w:rsid w:val="00BE3FB9"/>
    <w:rsid w:val="00BE61CC"/>
    <w:rsid w:val="00BF2CA9"/>
    <w:rsid w:val="00BF79EB"/>
    <w:rsid w:val="00C0735A"/>
    <w:rsid w:val="00C126F0"/>
    <w:rsid w:val="00C20393"/>
    <w:rsid w:val="00C25D5E"/>
    <w:rsid w:val="00C30B16"/>
    <w:rsid w:val="00C329D2"/>
    <w:rsid w:val="00C417E6"/>
    <w:rsid w:val="00C4497D"/>
    <w:rsid w:val="00C55997"/>
    <w:rsid w:val="00C57891"/>
    <w:rsid w:val="00C654D6"/>
    <w:rsid w:val="00C82D97"/>
    <w:rsid w:val="00C8500F"/>
    <w:rsid w:val="00C879C5"/>
    <w:rsid w:val="00C92ADB"/>
    <w:rsid w:val="00C97C9D"/>
    <w:rsid w:val="00CA074A"/>
    <w:rsid w:val="00CB0956"/>
    <w:rsid w:val="00CB12CA"/>
    <w:rsid w:val="00CB2DF9"/>
    <w:rsid w:val="00CB41F9"/>
    <w:rsid w:val="00CB5253"/>
    <w:rsid w:val="00CB5B01"/>
    <w:rsid w:val="00CC1D81"/>
    <w:rsid w:val="00CC5973"/>
    <w:rsid w:val="00CD6439"/>
    <w:rsid w:val="00CE4B57"/>
    <w:rsid w:val="00D031D9"/>
    <w:rsid w:val="00D1270D"/>
    <w:rsid w:val="00D15DDE"/>
    <w:rsid w:val="00D22194"/>
    <w:rsid w:val="00D25521"/>
    <w:rsid w:val="00D36D17"/>
    <w:rsid w:val="00D437EF"/>
    <w:rsid w:val="00D4402B"/>
    <w:rsid w:val="00D46491"/>
    <w:rsid w:val="00D4719B"/>
    <w:rsid w:val="00D61D11"/>
    <w:rsid w:val="00D65186"/>
    <w:rsid w:val="00D85D22"/>
    <w:rsid w:val="00DA2CD1"/>
    <w:rsid w:val="00DA2FDB"/>
    <w:rsid w:val="00DA56C4"/>
    <w:rsid w:val="00DA61F6"/>
    <w:rsid w:val="00DB467D"/>
    <w:rsid w:val="00DC44A5"/>
    <w:rsid w:val="00DD07CF"/>
    <w:rsid w:val="00DD2074"/>
    <w:rsid w:val="00DD7ACB"/>
    <w:rsid w:val="00DD7E51"/>
    <w:rsid w:val="00DF4DC2"/>
    <w:rsid w:val="00E01704"/>
    <w:rsid w:val="00E03CA5"/>
    <w:rsid w:val="00E0735C"/>
    <w:rsid w:val="00E1543D"/>
    <w:rsid w:val="00E17FB2"/>
    <w:rsid w:val="00E21444"/>
    <w:rsid w:val="00E21FBE"/>
    <w:rsid w:val="00E24629"/>
    <w:rsid w:val="00E24910"/>
    <w:rsid w:val="00E30DF0"/>
    <w:rsid w:val="00E3583C"/>
    <w:rsid w:val="00E400FA"/>
    <w:rsid w:val="00E47811"/>
    <w:rsid w:val="00E6253C"/>
    <w:rsid w:val="00E63892"/>
    <w:rsid w:val="00E63C4B"/>
    <w:rsid w:val="00EB2E0B"/>
    <w:rsid w:val="00EC0B21"/>
    <w:rsid w:val="00EE286A"/>
    <w:rsid w:val="00EE302F"/>
    <w:rsid w:val="00EE321C"/>
    <w:rsid w:val="00EF337C"/>
    <w:rsid w:val="00EF3E73"/>
    <w:rsid w:val="00F0145F"/>
    <w:rsid w:val="00F03C4E"/>
    <w:rsid w:val="00F20B15"/>
    <w:rsid w:val="00F34E7C"/>
    <w:rsid w:val="00F36DE4"/>
    <w:rsid w:val="00F50414"/>
    <w:rsid w:val="00F561B9"/>
    <w:rsid w:val="00F64108"/>
    <w:rsid w:val="00F700A4"/>
    <w:rsid w:val="00F72B40"/>
    <w:rsid w:val="00F767F7"/>
    <w:rsid w:val="00FC1495"/>
    <w:rsid w:val="00FD1D53"/>
    <w:rsid w:val="00FD41CD"/>
    <w:rsid w:val="00FE25B5"/>
    <w:rsid w:val="00FE5BE5"/>
    <w:rsid w:val="00FF079C"/>
    <w:rsid w:val="00FF29F2"/>
    <w:rsid w:val="00FF2F39"/>
    <w:rsid w:val="00FF3FFC"/>
    <w:rsid w:val="00FF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DB329"/>
  <w15:docId w15:val="{E6556679-28A9-4231-8239-82CEE0D5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D8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9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6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6B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76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6BB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13B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B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B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B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B6D"/>
    <w:rPr>
      <w:b/>
      <w:bCs/>
    </w:rPr>
  </w:style>
  <w:style w:type="character" w:styleId="Hyperlink">
    <w:name w:val="Hyperlink"/>
    <w:basedOn w:val="DefaultParagraphFont"/>
    <w:uiPriority w:val="99"/>
    <w:unhideWhenUsed/>
    <w:rsid w:val="00CB09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956"/>
    <w:rPr>
      <w:color w:val="605E5C"/>
      <w:shd w:val="clear" w:color="auto" w:fill="E1DFDD"/>
    </w:rPr>
  </w:style>
  <w:style w:type="paragraph" w:customStyle="1" w:styleId="Default">
    <w:name w:val="Default"/>
    <w:rsid w:val="004508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50C6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F6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ableau.vba.va.gov/views/ForeignCLaimsReport/EPDatabyCountry?%3Aembed=y&amp;%3AshowShareOptions=true&amp;%3Adisplay_count=no&amp;%3AshowVizHome=n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ate.Matthews@va.gov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rendan.Makarewicz@va.gov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33B26FEED3245A463EA09587B4516" ma:contentTypeVersion="9" ma:contentTypeDescription="Create a new document." ma:contentTypeScope="" ma:versionID="6b050fb440578db1d942252535319ccd">
  <xsd:schema xmlns:xsd="http://www.w3.org/2001/XMLSchema" xmlns:xs="http://www.w3.org/2001/XMLSchema" xmlns:p="http://schemas.microsoft.com/office/2006/metadata/properties" xmlns:ns3="2cd206d5-4193-4c52-baf6-ffad13358094" xmlns:ns4="2525638b-d2f4-45f9-8c87-1ebca5c1a273" targetNamespace="http://schemas.microsoft.com/office/2006/metadata/properties" ma:root="true" ma:fieldsID="1f71a658709f8e6f65f07cd9ac7c418b" ns3:_="" ns4:_="">
    <xsd:import namespace="2cd206d5-4193-4c52-baf6-ffad13358094"/>
    <xsd:import namespace="2525638b-d2f4-45f9-8c87-1ebca5c1a2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206d5-4193-4c52-baf6-ffad133580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5638b-d2f4-45f9-8c87-1ebca5c1a2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282158-C973-4EBB-A5F5-15201F0D9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206d5-4193-4c52-baf6-ffad13358094"/>
    <ds:schemaRef ds:uri="2525638b-d2f4-45f9-8c87-1ebca5c1a2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F06624-D93F-42EC-8C5B-532767DB0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EBEAFC-81C5-4BE7-A637-2F100A5FBA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F614C6-ED5A-4C5C-B25E-B38DEB3B26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Employment Request</vt:lpstr>
    </vt:vector>
  </TitlesOfParts>
  <Manager>Andrea Lee</Manager>
  <Company>Veteran Affairs</Company>
  <LinksUpToDate>false</LinksUpToDate>
  <CharactersWithSpaces>4437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Employment Request</dc:title>
  <dc:subject>Virtual request</dc:subject>
  <dc:creator>Raymond Tellez</dc:creator>
  <cp:keywords>virtual; OBI; request</cp:keywords>
  <dc:description/>
  <cp:lastModifiedBy>Makarewicz, Brendan J., VBAVACO</cp:lastModifiedBy>
  <cp:revision>7</cp:revision>
  <cp:lastPrinted>2020-03-18T18:04:00Z</cp:lastPrinted>
  <dcterms:created xsi:type="dcterms:W3CDTF">2022-05-25T19:09:00Z</dcterms:created>
  <dcterms:modified xsi:type="dcterms:W3CDTF">2022-05-25T19:27:00Z</dcterms:modified>
  <cp:category>Virtual Request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0x010100DEE33B26FEED3245A463EA09587B4516</vt:lpwstr>
  </property>
</Properties>
</file>