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Health Care Benefits Hub</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Note that we did not include the entire phrase in many of the links (ie, the link text for Eligibility is simply “Eligibility” rather than “VA Health Care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390"/>
        <w:gridCol w:w="3120"/>
        <w:tblGridChange w:id="0">
          <w:tblGrid>
            <w:gridCol w:w="2850"/>
            <w:gridCol w:w="3390"/>
            <w:gridCol w:w="31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 Health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(MSV: 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veterans health care (MSV: 2,400)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About VA Health 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benefits (MSV: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medical benefits (MSV: 1,600)</w:t>
              <w:br w:type="textWrapping"/>
              <w:t xml:space="preserve">veterans medical benefits (MSV: 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eligibility</w:t>
              <w:br w:type="textWrapping"/>
              <w:t xml:space="preserve">(MSV: 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priority groups</w:t>
              <w:br w:type="textWrapping"/>
              <w:t xml:space="preserve">(MSV: 880)</w:t>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How to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apply for va health care</w:t>
              <w:br w:type="textWrapping"/>
              <w:t xml:space="preserve">(MSV: 210)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enrollment</w:t>
              <w:br w:type="textWrapping"/>
              <w:t xml:space="preserve">(MSV: 320)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Apply Online (VA Form 10-10EZ)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form 10 10ez (MSV: 1300) / 10 10ez (MSV: 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application</w:t>
              <w:br w:type="textWrapping"/>
              <w:t xml:space="preserve">(MSV: 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After You Apply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Family and Caregiver Health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spouse medical benefits (MSV: 390)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**Note: Subpages to be optimized for key terms such as “CHAMPVA”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Refill and Track Your VA Prescriptions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prescription refill (MSV: 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prescriptions (MSV: 880)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 VA Secure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secure messaging (MSV: 1600) /</w:t>
              <w:br w:type="textWrapping"/>
              <w:t xml:space="preserve">va secure messaging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healthevet secure messaging (MSV: 1300) /</w:t>
              <w:br w:type="textWrapping"/>
              <w:t xml:space="preserve">healthevet secure messaging (MSV: 320)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Schedule and View Your VA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appointments</w:t>
              <w:br w:type="textWrapping"/>
              <w:t xml:space="preserve">(MSV: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appointment</w:t>
              <w:br w:type="textWrapping"/>
              <w:t xml:space="preserve">(MSV: 720)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View Your VA Test and Lab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test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lab results online (MSV: 70) / </w:t>
              <w:br w:type="textWrapping"/>
              <w:t xml:space="preserve">va lab results (MSV: 10) /</w:t>
              <w:br w:type="textWrapping"/>
              <w:t xml:space="preserve">va lab (MSV: 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Order Hearing Aid Batteries or Prosthetic Socks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hearing aid batteries (MSV: 9,900) / </w:t>
              <w:br w:type="textWrapping"/>
              <w:t xml:space="preserve">va hearing aid batteries (MSV: 210)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prosthetic socks (MSV: 390)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Get Your VA Medical Records (called VA Blue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medical records</w:t>
              <w:br w:type="textWrapping"/>
              <w:t xml:space="preserve">(MSV: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 button</w:t>
              <w:br w:type="textWrapping"/>
              <w:t xml:space="preserve">(MSV: 1900) /</w:t>
              <w:br w:type="textWrapping"/>
              <w:t xml:space="preserve">va blue button (MSV: 480)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Update Your Health Benefits Information (VA Form 10-10EZR)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form 10 10 ezr (MSV: 590) / 10 10 ezr (MSV: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Make a VA Health Care Payment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payment (MSV: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www pay gov (MSV: 9900)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Check Your Claim or Appeal Status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va claim status (MSV: 480) / 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Get VA Travel Pay (Reimbursement)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travel pay </w:t>
              <w:br w:type="textWrapping"/>
              <w:t xml:space="preserve">(MSV: 1300)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va travel reimbursement</w:t>
              <w:br w:type="textWrapping"/>
              <w:t xml:space="preserve">(MSV: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 Health Care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cost</w:t>
              <w:br w:type="textWrapping"/>
              <w:t xml:space="preserve">(MSV: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**Note: Subpages will be optimized for terms such as “va copay”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 Health Services for Specific Needs and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services</w:t>
              <w:br w:type="textWrapping"/>
              <w:t xml:space="preserve">(MSV: 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health needs of veterans</w:t>
              <w:br w:type="textWrapping"/>
              <w:t xml:space="preserve">(MSV: 40)</w:t>
              <w:br w:type="textWrapping"/>
              <w:br w:type="textWrapping"/>
            </w:r>
            <w:r w:rsidDel="00000000" w:rsidR="00000000" w:rsidRPr="00000000">
              <w:rPr>
                <w:i w:val="1"/>
                <w:rtl w:val="0"/>
              </w:rPr>
              <w:t xml:space="preserve">**Note: Subpages will be optimized for condition-specific terms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Veterans Programs for Health and Wellness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veterans programs (MSV: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health programs (MSV: 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Chemical or Hazardous Material Exposures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n/a </w:t>
            </w:r>
            <w:r w:rsidDel="00000000" w:rsidR="00000000" w:rsidRPr="00000000">
              <w:rPr>
                <w:i w:val="1"/>
                <w:rtl w:val="0"/>
              </w:rPr>
              <w:t xml:space="preserve">(optimizing sub pages, as specific exposure terms have greater SEO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The Veterans Choice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veterans choice program (MSV: 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The Affordable Care Act (ACA) and Your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www va gov aca (MSV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 health care affordable care act (MSV: 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The Million Veteran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million veteran program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Access and Quality in VA Health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Patient Rights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