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23a45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23a45"/>
          <w:sz w:val="52"/>
          <w:szCs w:val="52"/>
          <w:u w:val="none"/>
          <w:shd w:fill="auto" w:val="clear"/>
          <w:vertAlign w:val="baseline"/>
        </w:rPr>
        <w:drawing>
          <wp:inline distB="0" distT="0" distL="0" distR="0">
            <wp:extent cx="4643708" cy="2812819"/>
            <wp:effectExtent b="0" l="0" r="0" t="0"/>
            <wp:docPr descr="Title Banner with VA seal and text reading: VA US Department of Veterans Affairs" id="8" name="image6.png"/>
            <a:graphic>
              <a:graphicData uri="http://schemas.openxmlformats.org/drawingml/2006/picture">
                <pic:pic>
                  <pic:nvPicPr>
                    <pic:cNvPr descr="Title Banner with VA seal and text reading: VA US Department of Veterans Affairs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708" cy="2812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color w:val="4472c4"/>
          <w:sz w:val="52"/>
          <w:szCs w:val="52"/>
          <w:rtl w:val="0"/>
        </w:rPr>
        <w:t xml:space="preserve">Benefits Team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b616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color w:val="5b616b"/>
          <w:sz w:val="32"/>
          <w:szCs w:val="32"/>
          <w:rtl w:val="0"/>
        </w:rPr>
        <w:t xml:space="preserve">November 14 2022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616b"/>
          <w:sz w:val="32"/>
          <w:szCs w:val="32"/>
          <w:u w:val="none"/>
          <w:shd w:fill="auto" w:val="clear"/>
          <w:vertAlign w:val="baseline"/>
          <w:rtl w:val="0"/>
        </w:rPr>
        <w:t xml:space="preserve"> |</w:t>
      </w:r>
      <w:r w:rsidDel="00000000" w:rsidR="00000000" w:rsidRPr="00000000">
        <w:rPr>
          <w:color w:val="5b616b"/>
          <w:sz w:val="32"/>
          <w:szCs w:val="32"/>
          <w:rtl w:val="0"/>
        </w:rPr>
        <w:t xml:space="preserve"> Notification Letters Version 1.0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616b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b616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413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20"/>
      </w:tblPr>
      <w:tblGrid>
        <w:gridCol w:w="1182"/>
        <w:gridCol w:w="997"/>
        <w:gridCol w:w="4848"/>
        <w:gridCol w:w="2386"/>
        <w:tblGridChange w:id="0">
          <w:tblGrid>
            <w:gridCol w:w="1182"/>
            <w:gridCol w:w="997"/>
            <w:gridCol w:w="4848"/>
            <w:gridCol w:w="2386"/>
          </w:tblGrid>
        </w:tblGridChange>
      </w:tblGrid>
      <w:tr>
        <w:trPr>
          <w:cantSplit w:val="1"/>
          <w:tblHeader w:val="1"/>
        </w:trPr>
        <w:tc>
          <w:tcPr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9/30/22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 Debut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Worrell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75"/>
              <w:tab w:val="right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bookmark=id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Notification Letters Overview</w:t>
          </w:r>
          <w:r w:rsidDel="00000000" w:rsidR="00000000" w:rsidRPr="00000000">
            <w:fldChar w:fldCharType="end"/>
          </w:r>
          <w:hyperlink w:anchor="bookmark=id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75"/>
              <w:tab w:val="right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bookmark=id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</w:r>
          </w:hyperlink>
          <w:r w:rsidDel="00000000" w:rsidR="00000000" w:rsidRPr="00000000">
            <w:fldChar w:fldCharType="begin"/>
            <w:instrText xml:space="preserve"> PAGEREF bookmark=id.3dy6vkm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User Access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4</w:t>
          </w: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75"/>
              <w:tab w:val="right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hyperlink w:anchor="bookmark=id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bookmark=id.1ksv4uv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Navigation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75"/>
              <w:tab w:val="right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bookmark=id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</w:r>
          </w:hyperlink>
          <w:r w:rsidDel="00000000" w:rsidR="00000000" w:rsidRPr="00000000">
            <w:fldChar w:fldCharType="begin"/>
            <w:instrText xml:space="preserve"> PAGEREF bookmark=id.44sinio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Functionality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75"/>
              <w:tab w:val="right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bookmark=id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  <w:tab/>
            </w:r>
          </w:hyperlink>
          <w:r w:rsidDel="00000000" w:rsidR="00000000" w:rsidRPr="00000000">
            <w:fldChar w:fldCharType="begin"/>
            <w:instrText xml:space="preserve"> PAGEREF bookmark=id.2jxsxqh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Major Issues and Error Messages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left" w:pos="960"/>
              <w:tab w:val="right" w:pos="9350"/>
            </w:tabs>
            <w:spacing w:after="0" w:before="0" w:line="240" w:lineRule="auto"/>
            <w:ind w:left="47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</w:t>
              <w:tab/>
              <w:t xml:space="preserve">Subheader (as many as needed)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bookmark=id.tyjcwt" w:id="4"/>
    <w:bookmarkEnd w:id="4"/>
    <w:p w:rsidR="00000000" w:rsidDel="00000000" w:rsidP="00000000" w:rsidRDefault="00000000" w:rsidRPr="00000000" w14:paraId="00000018">
      <w:pPr>
        <w:pStyle w:val="Heading2"/>
        <w:rPr>
          <w:rFonts w:ascii="Calibri" w:cs="Calibri" w:eastAsia="Calibri" w:hAnsi="Calibri"/>
          <w:sz w:val="28"/>
          <w:szCs w:val="28"/>
        </w:rPr>
      </w:pPr>
      <w:bookmarkStart w:colFirst="0" w:colLast="0" w:name="_heading=h.2et92p0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Product Overview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Notification letter tool is currently a feature in the Claims Status Tool, but eventually will become a standalone product. It allows veterans to download decision letters related to claims they have filed. Future versions may expand the types of notification letters available for download.  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1A">
      <w:pPr>
        <w:pStyle w:val="Heading2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User Access</w:t>
      </w:r>
    </w:p>
    <w:p w:rsidR="00000000" w:rsidDel="00000000" w:rsidP="00000000" w:rsidRDefault="00000000" w:rsidRPr="00000000" w14:paraId="0000001B">
      <w:pPr>
        <w:spacing w:after="12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Users will need to be logged into the site AND have a closed claim on file to have access to notifical letters.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Navigation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Direct URL: https://va.gov/track-claims/your-claims-letters</w:t>
      </w:r>
    </w:p>
    <w:p w:rsidR="00000000" w:rsidDel="00000000" w:rsidP="00000000" w:rsidRDefault="00000000" w:rsidRPr="00000000" w14:paraId="0000001E">
      <w:pPr>
        <w:spacing w:after="120" w:line="240" w:lineRule="auto"/>
        <w:rPr/>
      </w:pPr>
      <w:r w:rsidDel="00000000" w:rsidR="00000000" w:rsidRPr="00000000">
        <w:rPr>
          <w:rtl w:val="0"/>
        </w:rPr>
        <w:t xml:space="preserve">Or, most veterans will likely navigate starting at the VA.gov homepage. They will need to click “chick your claim or appeal status” in the “Disability” section.</w:t>
      </w:r>
    </w:p>
    <w:p w:rsidR="00000000" w:rsidDel="00000000" w:rsidP="00000000" w:rsidRDefault="00000000" w:rsidRPr="00000000" w14:paraId="0000001F">
      <w:pPr>
        <w:spacing w:after="12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6609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Veterans will then need to click on “View Details” on a claim that is </w:t>
      </w:r>
      <w:r w:rsidDel="00000000" w:rsidR="00000000" w:rsidRPr="00000000">
        <w:rPr>
          <w:b w:val="1"/>
          <w:rtl w:val="0"/>
        </w:rPr>
        <w:t xml:space="preserve">CLOSED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within a CLOSED claim’s details section, veterans must then click the “Get your claims letters” link.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348288" cy="3625067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3625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eading=h.ijs3l1u2q8w0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Within the Notification Letters section, a veteran can click on one of the “Download letter” links and download their notification letter.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Once a veteran clicks a “Download letter” link, behavior can be browser and user setting specific. The letter will be downloaded immediately or come up as a preview in a browser window.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691063" cy="387163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871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C">
      <w:pPr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 Major Issues and Error Messages</w:t>
      </w:r>
    </w:p>
    <w:p w:rsidR="00000000" w:rsidDel="00000000" w:rsidP="00000000" w:rsidRDefault="00000000" w:rsidRPr="00000000" w14:paraId="0000002E">
      <w:pPr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yellow"/>
        </w:rPr>
      </w:pPr>
      <w:r w:rsidDel="00000000" w:rsidR="00000000" w:rsidRPr="00000000">
        <w:rPr>
          <w:rtl w:val="0"/>
        </w:rPr>
        <w:t xml:space="preserve">More details to come, but we expect to use the standard VA.gov error messaging approach for failed application loads.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bookmarkStart w:colFirst="0" w:colLast="0" w:name="bookmark=id.1t3h5sf" w:id="8"/>
    <w:bookmarkEnd w:id="8"/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spacing w:after="0" w:line="246.99999999999994" w:lineRule="auto"/>
        <w:ind w:right="101" w:hanging="14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2</w:t>
      </w:r>
    </w:p>
    <w:sectPr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37F62"/>
  </w:style>
  <w:style w:type="paragraph" w:styleId="Heading1">
    <w:name w:val="heading 1"/>
    <w:basedOn w:val="Normal"/>
    <w:link w:val="Heading1Char"/>
    <w:uiPriority w:val="9"/>
    <w:qFormat w:val="1"/>
    <w:rsid w:val="00E90CFF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E90CFF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90CFF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E90CFF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Strong">
    <w:name w:val="Strong"/>
    <w:basedOn w:val="DefaultParagraphFont"/>
    <w:uiPriority w:val="22"/>
    <w:qFormat w:val="1"/>
    <w:rsid w:val="00E90CFF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E90CF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E90CFF"/>
    <w:rPr>
      <w:color w:val="0000ff"/>
      <w:u w:val="single"/>
    </w:rPr>
  </w:style>
  <w:style w:type="character" w:styleId="Emphasis">
    <w:name w:val="Emphasis"/>
    <w:basedOn w:val="DefaultParagraphFont"/>
    <w:uiPriority w:val="20"/>
    <w:qFormat w:val="1"/>
    <w:rsid w:val="00E90CFF"/>
    <w:rPr>
      <w:i w:val="1"/>
      <w:iCs w:val="1"/>
    </w:rPr>
  </w:style>
  <w:style w:type="table" w:styleId="OITTable" w:customStyle="1">
    <w:name w:val="OI&amp;T Table"/>
    <w:basedOn w:val="TableNormal"/>
    <w:uiPriority w:val="99"/>
    <w:rsid w:val="004750E7"/>
    <w:pPr>
      <w:spacing w:after="0" w:line="240" w:lineRule="auto"/>
    </w:pPr>
    <w:rPr>
      <w:szCs w:val="20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  <w:tblCellMar>
        <w:top w:w="29.0" w:type="dxa"/>
        <w:left w:w="58.0" w:type="dxa"/>
        <w:bottom w:w="29.0" w:type="dxa"/>
        <w:right w:w="58.0" w:type="dxa"/>
      </w:tblCellMar>
    </w:tblPr>
    <w:tcPr>
      <w:shd w:color="auto" w:fill="auto" w:val="clear"/>
      <w:vAlign w:val="center"/>
    </w:tcPr>
    <w:tblStylePr w:type="firstRow">
      <w:rPr>
        <w:rFonts w:asciiTheme="minorHAnsi" w:hAnsiTheme="minorHAnsi"/>
        <w:b w:val="1"/>
        <w:bCs w:val="1"/>
        <w:color w:val="ffffff" w:themeColor="background1"/>
        <w:sz w:val="24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205594" w:val="clear"/>
      </w:tcPr>
    </w:tblStylePr>
    <w:tblStylePr w:type="lastRow">
      <w:rPr>
        <w:b w:val="0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0"/>
        <w:bCs w:val="1"/>
      </w:rPr>
    </w:tblStylePr>
    <w:tblStylePr w:type="lastCol">
      <w:rPr>
        <w:b w:val="0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TableHeading" w:customStyle="1">
    <w:name w:val="Table Heading"/>
    <w:basedOn w:val="Normal"/>
    <w:qFormat w:val="1"/>
    <w:rsid w:val="004750E7"/>
    <w:pPr>
      <w:spacing w:after="0" w:line="240" w:lineRule="auto"/>
      <w:jc w:val="center"/>
    </w:pPr>
    <w:rPr>
      <w:rFonts w:ascii="Calibri" w:cs="Times New Roman" w:eastAsia="Calibri" w:hAnsi="Calibri"/>
      <w:color w:val="ffffff" w:themeColor="background1"/>
    </w:rPr>
  </w:style>
  <w:style w:type="paragraph" w:styleId="TableCell" w:customStyle="1">
    <w:name w:val="Table Cell"/>
    <w:basedOn w:val="Normal"/>
    <w:qFormat w:val="1"/>
    <w:rsid w:val="004750E7"/>
    <w:pPr>
      <w:spacing w:after="60" w:before="60" w:line="240" w:lineRule="auto"/>
    </w:pPr>
    <w:rPr>
      <w:bCs w:val="1"/>
      <w:sz w:val="20"/>
      <w:szCs w:val="20"/>
    </w:rPr>
  </w:style>
  <w:style w:type="paragraph" w:styleId="OITStyle" w:customStyle="1">
    <w:name w:val="OI&amp;T Style"/>
    <w:qFormat w:val="1"/>
    <w:rsid w:val="004750E7"/>
    <w:pPr>
      <w:spacing w:after="0" w:line="240" w:lineRule="auto"/>
    </w:pPr>
    <w:rPr>
      <w:rFonts w:asciiTheme="majorHAnsi" w:cstheme="majorBidi" w:eastAsiaTheme="majorEastAsia" w:hAnsiTheme="majorHAnsi"/>
      <w:color w:val="323a45"/>
      <w:spacing w:val="-10"/>
      <w:kern w:val="28"/>
      <w:sz w:val="52"/>
      <w:szCs w:val="56"/>
    </w:rPr>
  </w:style>
  <w:style w:type="paragraph" w:styleId="Details" w:customStyle="1">
    <w:name w:val="Details"/>
    <w:qFormat w:val="1"/>
    <w:rsid w:val="004750E7"/>
    <w:pPr>
      <w:spacing w:after="0" w:line="240" w:lineRule="auto"/>
    </w:pPr>
    <w:rPr>
      <w:rFonts w:asciiTheme="majorHAnsi" w:eastAsiaTheme="minorEastAsia" w:hAnsiTheme="majorHAnsi"/>
      <w:color w:val="5b616b"/>
      <w:spacing w:val="15"/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274B67"/>
    <w:pPr>
      <w:tabs>
        <w:tab w:val="left" w:pos="475"/>
        <w:tab w:val="right" w:leader="dot" w:pos="9350"/>
      </w:tabs>
      <w:spacing w:after="0" w:before="120" w:line="240" w:lineRule="auto"/>
    </w:pPr>
    <w:rPr>
      <w:b w:val="1"/>
      <w:bCs w:val="1"/>
      <w:noProof w:val="1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4750E7"/>
    <w:pPr>
      <w:tabs>
        <w:tab w:val="left" w:pos="720"/>
        <w:tab w:val="left" w:pos="960"/>
        <w:tab w:val="right" w:leader="dot" w:pos="9350"/>
      </w:tabs>
      <w:spacing w:after="0" w:line="240" w:lineRule="auto"/>
      <w:ind w:left="475"/>
    </w:pPr>
    <w:rPr>
      <w:bCs w:val="1"/>
      <w:noProof w:val="1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4750E7"/>
    <w:pPr>
      <w:tabs>
        <w:tab w:val="left" w:pos="960"/>
        <w:tab w:val="right" w:leader="dot" w:pos="9350"/>
      </w:tabs>
      <w:spacing w:after="0" w:line="240" w:lineRule="auto"/>
      <w:ind w:left="480"/>
    </w:pPr>
    <w:rPr>
      <w:noProof w:val="1"/>
    </w:rPr>
  </w:style>
  <w:style w:type="paragraph" w:styleId="TOCHeading">
    <w:name w:val="TOC Heading"/>
    <w:basedOn w:val="Heading2"/>
    <w:next w:val="Normal"/>
    <w:uiPriority w:val="39"/>
    <w:unhideWhenUsed w:val="1"/>
    <w:qFormat w:val="1"/>
    <w:rsid w:val="004750E7"/>
    <w:pPr>
      <w:keepNext w:val="1"/>
      <w:keepLines w:val="1"/>
      <w:spacing w:after="120" w:afterAutospacing="0" w:before="120" w:beforeAutospacing="0"/>
    </w:pPr>
    <w:rPr>
      <w:rFonts w:asciiTheme="minorHAnsi" w:cstheme="minorHAnsi" w:eastAsiaTheme="majorEastAsia" w:hAnsiTheme="minorHAnsi"/>
      <w:b w:val="0"/>
      <w:color w:val="4472c4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 w:val="1"/>
    <w:rsid w:val="004750E7"/>
    <w:pPr>
      <w:spacing w:after="0" w:line="240" w:lineRule="auto"/>
    </w:pPr>
  </w:style>
  <w:style w:type="paragraph" w:styleId="VersionHistory" w:customStyle="1">
    <w:name w:val="Version History"/>
    <w:basedOn w:val="Heading2"/>
    <w:link w:val="VersionHistoryChar"/>
    <w:qFormat w:val="1"/>
    <w:rsid w:val="004750E7"/>
    <w:pPr>
      <w:keepNext w:val="1"/>
      <w:keepLines w:val="1"/>
      <w:spacing w:after="120" w:afterAutospacing="0" w:before="120" w:beforeAutospacing="0"/>
    </w:pPr>
    <w:rPr>
      <w:rFonts w:cstheme="minorHAnsi" w:eastAsiaTheme="majorEastAsia"/>
      <w:b w:val="0"/>
      <w:bCs w:val="0"/>
      <w:color w:val="4472c4" w:themeColor="accent1"/>
    </w:rPr>
  </w:style>
  <w:style w:type="character" w:styleId="VersionHistoryChar" w:customStyle="1">
    <w:name w:val="Version History Char"/>
    <w:basedOn w:val="Heading2Char"/>
    <w:link w:val="VersionHistory"/>
    <w:rsid w:val="004750E7"/>
    <w:rPr>
      <w:rFonts w:ascii="Times New Roman" w:hAnsi="Times New Roman" w:cstheme="minorHAnsi" w:eastAsiaTheme="majorEastAsia"/>
      <w:b w:val="0"/>
      <w:bCs w:val="0"/>
      <w:color w:val="4472c4" w:themeColor="accent1"/>
      <w:sz w:val="36"/>
      <w:szCs w:val="36"/>
    </w:rPr>
  </w:style>
  <w:style w:type="paragraph" w:styleId="DocTitlePage" w:customStyle="1">
    <w:name w:val="Doc Title Page"/>
    <w:basedOn w:val="Normal"/>
    <w:link w:val="DocTitlePageChar"/>
    <w:qFormat w:val="1"/>
    <w:rsid w:val="004750E7"/>
    <w:pPr>
      <w:spacing w:after="120" w:line="240" w:lineRule="auto"/>
    </w:pPr>
    <w:rPr>
      <w:color w:val="4472c4" w:themeColor="accent1"/>
      <w:sz w:val="52"/>
      <w:szCs w:val="52"/>
    </w:rPr>
  </w:style>
  <w:style w:type="character" w:styleId="DocTitlePageChar" w:customStyle="1">
    <w:name w:val="Doc Title Page Char"/>
    <w:basedOn w:val="DefaultParagraphFont"/>
    <w:link w:val="DocTitlePage"/>
    <w:rsid w:val="004750E7"/>
    <w:rPr>
      <w:color w:val="4472c4" w:themeColor="accent1"/>
      <w:sz w:val="52"/>
      <w:szCs w:val="52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04F6B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A4323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4323A"/>
  </w:style>
  <w:style w:type="paragraph" w:styleId="Footer">
    <w:name w:val="footer"/>
    <w:basedOn w:val="Normal"/>
    <w:link w:val="FooterChar"/>
    <w:uiPriority w:val="99"/>
    <w:unhideWhenUsed w:val="1"/>
    <w:rsid w:val="00A4323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4323A"/>
  </w:style>
  <w:style w:type="paragraph" w:styleId="ListParagraph">
    <w:name w:val="List Paragraph"/>
    <w:basedOn w:val="Normal"/>
    <w:link w:val="ListParagraphChar"/>
    <w:uiPriority w:val="34"/>
    <w:qFormat w:val="1"/>
    <w:rsid w:val="00504288"/>
    <w:pPr>
      <w:ind w:left="720"/>
      <w:contextualSpacing w:val="1"/>
    </w:pPr>
    <w:rPr>
      <w:rFonts w:ascii="Calibri" w:cs="Calibri" w:eastAsia="Calibri" w:hAnsi="Calibri"/>
      <w:color w:val="000000"/>
      <w:sz w:val="24"/>
    </w:rPr>
  </w:style>
  <w:style w:type="character" w:styleId="ListParagraphChar" w:customStyle="1">
    <w:name w:val="List Paragraph Char"/>
    <w:link w:val="ListParagraph"/>
    <w:uiPriority w:val="34"/>
    <w:locked w:val="1"/>
    <w:rsid w:val="004F4A61"/>
    <w:rPr>
      <w:rFonts w:ascii="Calibri" w:cs="Calibri" w:eastAsia="Calibri" w:hAnsi="Calibri"/>
      <w:color w:val="000000"/>
      <w:sz w:val="24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E1B55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102D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  <w:vAlign w:val="cente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0"/>
      </w:rPr>
    </w:tblStylePr>
    <w:tblStylePr w:type="firstRow">
      <w:rPr>
        <w:rFonts w:ascii="Calibri" w:cs="Calibri" w:eastAsia="Calibri" w:hAnsi="Calibri"/>
        <w:b w:val="1"/>
        <w:color w:val="ffffff"/>
        <w:sz w:val="24"/>
        <w:szCs w:val="24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205594" w:val="clear"/>
      </w:tcPr>
    </w:tblStylePr>
    <w:tblStylePr w:type="lastCol">
      <w:rPr>
        <w:b w:val="0"/>
      </w:rPr>
    </w:tblStylePr>
    <w:tblStylePr w:type="lastRow">
      <w:rPr>
        <w:b w:val="0"/>
      </w:rPr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sIxqvHkiMWPxPSijdDWmjA6Ldw==">AMUW2mV/Yfrp5LJBOMVTLj5IpQRVvzmEJXD3iqn8kCJOFY688Oa3jzMTZfPzKElql7spcekH6kQpZE+r8UAIKVreygt6rkTMhTQblnE6lLaWA33wifMvcg7+ZW+IX4dIeXWIcKKBvOoPhLQ2nkWVi3TlI4xW5FvY3bBkoBwR+xgw+vFVXt+VwlpWtXSY3Vl5qf5EHsfdt6rLgNh5cqWPxR9qzeN35INdL8Y4fiGxVOTJuKM076IOjL/RhYbd8Fk6/6rW5YxbnR/w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2022-06-14T19:52:00Z</dcterms:created>
  <dc:creator>Steven Robert Tarlow Jr.</dc:creator>
</cp:coreProperties>
</file>